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04" w:rsidRDefault="003A5104" w:rsidP="003A5104">
      <w:pPr>
        <w:pStyle w:val="1"/>
        <w:tabs>
          <w:tab w:val="left" w:pos="0"/>
        </w:tabs>
        <w:ind w:left="0" w:right="-214"/>
        <w:jc w:val="center"/>
        <w:rPr>
          <w:lang w:val="en-US"/>
        </w:rPr>
      </w:pPr>
      <w:r>
        <w:rPr>
          <w:lang w:val="en-US"/>
        </w:rPr>
        <w:t>Questions and Literature for final assessment of</w:t>
      </w:r>
      <w:r w:rsidR="00574810" w:rsidRPr="001A1613">
        <w:rPr>
          <w:lang w:val="en-US"/>
        </w:rPr>
        <w:t xml:space="preserve"> </w:t>
      </w:r>
      <w:r w:rsidRPr="001A1613">
        <w:rPr>
          <w:lang w:val="en-US"/>
        </w:rPr>
        <w:t>the discipline</w:t>
      </w:r>
    </w:p>
    <w:p w:rsidR="00404F7B" w:rsidRPr="001A1613" w:rsidRDefault="00574810" w:rsidP="003A5104">
      <w:pPr>
        <w:pStyle w:val="1"/>
        <w:tabs>
          <w:tab w:val="left" w:pos="0"/>
        </w:tabs>
        <w:ind w:left="0"/>
        <w:jc w:val="center"/>
        <w:rPr>
          <w:lang w:val="en-US"/>
        </w:rPr>
      </w:pPr>
      <w:r w:rsidRPr="001A1613">
        <w:rPr>
          <w:lang w:val="en-US"/>
        </w:rPr>
        <w:t>«</w:t>
      </w:r>
      <w:r w:rsidR="00422AF6" w:rsidRPr="001A1613">
        <w:rPr>
          <w:lang w:val="en-US"/>
        </w:rPr>
        <w:t xml:space="preserve">PSYCHOLOGY </w:t>
      </w:r>
      <w:r w:rsidR="00422AF6">
        <w:rPr>
          <w:lang w:val="en-US"/>
        </w:rPr>
        <w:t xml:space="preserve">of </w:t>
      </w:r>
      <w:r w:rsidRPr="001A1613">
        <w:rPr>
          <w:lang w:val="en-US"/>
        </w:rPr>
        <w:t>COMMUNICATION »</w:t>
      </w:r>
    </w:p>
    <w:p w:rsidR="00404F7B" w:rsidRPr="001A1613" w:rsidRDefault="00574810" w:rsidP="003A5104">
      <w:pPr>
        <w:tabs>
          <w:tab w:val="left" w:pos="0"/>
        </w:tabs>
        <w:spacing w:after="0" w:line="259" w:lineRule="auto"/>
        <w:ind w:right="0" w:firstLine="0"/>
        <w:jc w:val="center"/>
        <w:rPr>
          <w:lang w:val="en-US"/>
        </w:rPr>
      </w:pPr>
      <w:r w:rsidRPr="001A1613">
        <w:rPr>
          <w:b/>
          <w:lang w:val="en-US"/>
        </w:rPr>
        <w:t xml:space="preserve"> </w:t>
      </w:r>
    </w:p>
    <w:p w:rsidR="000912C7" w:rsidRDefault="000912C7" w:rsidP="003A5104">
      <w:pPr>
        <w:tabs>
          <w:tab w:val="left" w:pos="0"/>
        </w:tabs>
        <w:suppressAutoHyphens/>
        <w:spacing w:after="0" w:line="240" w:lineRule="auto"/>
        <w:ind w:right="0" w:firstLine="567"/>
        <w:jc w:val="center"/>
        <w:rPr>
          <w:b/>
          <w:color w:val="auto"/>
          <w:szCs w:val="28"/>
          <w:lang w:val="en-US" w:eastAsia="ar-SA"/>
        </w:rPr>
      </w:pPr>
      <w:bookmarkStart w:id="0" w:name="_Hlk19694842"/>
    </w:p>
    <w:p w:rsidR="000912C7" w:rsidRPr="000912C7" w:rsidRDefault="000912C7" w:rsidP="003A5104">
      <w:pPr>
        <w:tabs>
          <w:tab w:val="left" w:pos="0"/>
        </w:tabs>
        <w:suppressAutoHyphens/>
        <w:spacing w:after="0" w:line="240" w:lineRule="auto"/>
        <w:ind w:right="0" w:firstLine="567"/>
        <w:jc w:val="center"/>
        <w:rPr>
          <w:b/>
          <w:color w:val="auto"/>
          <w:szCs w:val="28"/>
          <w:lang w:val="en-US" w:eastAsia="ar-SA"/>
        </w:rPr>
      </w:pPr>
      <w:r w:rsidRPr="000912C7">
        <w:rPr>
          <w:b/>
          <w:color w:val="auto"/>
          <w:szCs w:val="28"/>
          <w:lang w:val="en-US" w:eastAsia="ar-SA"/>
        </w:rPr>
        <w:t>APPROXIMATE QUESTIONS FOR PREPARATION FOR FINAL MODULE ASSESSMENT (TEST)</w:t>
      </w:r>
    </w:p>
    <w:p w:rsidR="000912C7" w:rsidRPr="00F003DB" w:rsidRDefault="000912C7" w:rsidP="003A5104">
      <w:pPr>
        <w:tabs>
          <w:tab w:val="left" w:pos="0"/>
        </w:tabs>
        <w:suppressAutoHyphens/>
        <w:spacing w:after="0" w:line="240" w:lineRule="auto"/>
        <w:ind w:right="0" w:firstLine="567"/>
        <w:rPr>
          <w:color w:val="auto"/>
          <w:szCs w:val="28"/>
          <w:lang w:val="en-US" w:eastAsia="ar-SA"/>
        </w:rPr>
      </w:pPr>
    </w:p>
    <w:bookmarkEnd w:id="0"/>
    <w:p w:rsidR="000912C7" w:rsidRPr="000912C7" w:rsidRDefault="000912C7" w:rsidP="003A5104">
      <w:pPr>
        <w:tabs>
          <w:tab w:val="left" w:pos="0"/>
        </w:tabs>
        <w:suppressAutoHyphens/>
        <w:spacing w:after="0" w:line="240" w:lineRule="auto"/>
        <w:ind w:right="0" w:firstLine="567"/>
        <w:rPr>
          <w:color w:val="auto"/>
          <w:szCs w:val="28"/>
          <w:lang w:val="en-US" w:eastAsia="ar-SA"/>
        </w:rPr>
      </w:pPr>
      <w:r>
        <w:rPr>
          <w:color w:val="auto"/>
          <w:szCs w:val="28"/>
          <w:lang w:val="en-US" w:eastAsia="ar-SA"/>
        </w:rPr>
        <w:t>1. What we mean by</w:t>
      </w:r>
      <w:r w:rsidRPr="000912C7">
        <w:rPr>
          <w:color w:val="auto"/>
          <w:szCs w:val="28"/>
          <w:lang w:val="en-US" w:eastAsia="ar-SA"/>
        </w:rPr>
        <w:t xml:space="preserve"> communicative competence?</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2. Wh</w:t>
      </w:r>
      <w:r>
        <w:rPr>
          <w:color w:val="auto"/>
          <w:szCs w:val="28"/>
          <w:lang w:val="en-US" w:eastAsia="ar-SA"/>
        </w:rPr>
        <w:t xml:space="preserve">ich </w:t>
      </w:r>
      <w:r w:rsidRPr="000912C7">
        <w:rPr>
          <w:color w:val="auto"/>
          <w:szCs w:val="28"/>
          <w:lang w:val="en-US" w:eastAsia="ar-SA"/>
        </w:rPr>
        <w:t>types of communication</w:t>
      </w:r>
      <w:r>
        <w:rPr>
          <w:color w:val="auto"/>
          <w:szCs w:val="28"/>
          <w:lang w:val="en-US" w:eastAsia="ar-SA"/>
        </w:rPr>
        <w:t xml:space="preserve"> do you know</w:t>
      </w:r>
      <w:r w:rsidRPr="000912C7">
        <w:rPr>
          <w:color w:val="auto"/>
          <w:szCs w:val="28"/>
          <w:lang w:val="en-US" w:eastAsia="ar-SA"/>
        </w:rPr>
        <w:t>?</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3. Main characteristics of verbal and non-verbal communication.</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4. Comparative analysis of formal and informal communication.</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5. Leading modalities and their role in interpersonal understanding.</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6. Main characteristics of communication: participants, messages, context, channels, interferences, feedback.</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7. Social intelligence as the basis of communicative competence.</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Pr>
          <w:color w:val="auto"/>
          <w:szCs w:val="28"/>
          <w:lang w:val="en-US" w:eastAsia="ar-SA"/>
        </w:rPr>
        <w:t>8. Differ</w:t>
      </w:r>
      <w:r w:rsidRPr="000912C7">
        <w:rPr>
          <w:color w:val="auto"/>
          <w:szCs w:val="28"/>
          <w:lang w:val="en-US" w:eastAsia="ar-SA"/>
        </w:rPr>
        <w:t>ent characteristics of honest and manipulative communication.</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9. Comparative analysis of critical and non-critical thinking.</w:t>
      </w:r>
    </w:p>
    <w:p w:rsidR="00660391"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10. Recommendations for critical reading and evaluation of information.</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11. The main elements of critical thinking.</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12. Characteristics of verbal and written persuasion techniques.</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13. The essence of logical errors.</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14. Visual decision-making tools.</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15. Presentation and self-presentation strategies.</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16. Presentation tools: visual, verbal, non-verbal.</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17. Techniques for engaging with the audience and managing issues.</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18. Means of overcoming nervousness and anxiety.</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19. Rehearsals and feedback as effective mechanisms for presentation and self-presentation.</w:t>
      </w:r>
    </w:p>
    <w:p w:rsid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20. Distinctive features of discussion and debate.</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21. The role of criticism and feedback.</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 xml:space="preserve">22. Discussion culture. </w:t>
      </w:r>
      <w:proofErr w:type="gramStart"/>
      <w:r w:rsidRPr="000912C7">
        <w:rPr>
          <w:color w:val="auto"/>
          <w:szCs w:val="28"/>
          <w:lang w:val="en-US" w:eastAsia="ar-SA"/>
        </w:rPr>
        <w:t>Means of constructing non-conflicting statements.</w:t>
      </w:r>
      <w:proofErr w:type="gramEnd"/>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23. Conflict behavior styles.</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24. What is the role of the patient's personality and personality?</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25. Doctor and patient t</w:t>
      </w:r>
      <w:r>
        <w:rPr>
          <w:color w:val="auto"/>
          <w:szCs w:val="28"/>
          <w:lang w:val="en-US" w:eastAsia="ar-SA"/>
        </w:rPr>
        <w:t>herapeutic alliance</w:t>
      </w:r>
      <w:r w:rsidRPr="000912C7">
        <w:rPr>
          <w:color w:val="auto"/>
          <w:szCs w:val="28"/>
          <w:lang w:val="en-US" w:eastAsia="ar-SA"/>
        </w:rPr>
        <w:t>.</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 xml:space="preserve">26. Types of hearing. </w:t>
      </w:r>
      <w:proofErr w:type="gramStart"/>
      <w:r w:rsidRPr="000912C7">
        <w:rPr>
          <w:color w:val="auto"/>
          <w:szCs w:val="28"/>
          <w:lang w:val="en-US" w:eastAsia="ar-SA"/>
        </w:rPr>
        <w:t>Active listening techniques and principles.</w:t>
      </w:r>
      <w:proofErr w:type="gramEnd"/>
      <w:r w:rsidRPr="000912C7">
        <w:rPr>
          <w:color w:val="auto"/>
          <w:szCs w:val="28"/>
          <w:lang w:val="en-US" w:eastAsia="ar-SA"/>
        </w:rPr>
        <w:t xml:space="preserve"> </w:t>
      </w:r>
      <w:proofErr w:type="gramStart"/>
      <w:r w:rsidRPr="000912C7">
        <w:rPr>
          <w:color w:val="auto"/>
          <w:szCs w:val="28"/>
          <w:lang w:val="en-US" w:eastAsia="ar-SA"/>
        </w:rPr>
        <w:t>Stages of the listening process.</w:t>
      </w:r>
      <w:proofErr w:type="gramEnd"/>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27. Attribution as a phenomenon of communication.</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 xml:space="preserve">28. Features of the patient's behavior. </w:t>
      </w:r>
      <w:proofErr w:type="gramStart"/>
      <w:r w:rsidRPr="000912C7">
        <w:rPr>
          <w:color w:val="auto"/>
          <w:szCs w:val="28"/>
          <w:lang w:val="en-US" w:eastAsia="ar-SA"/>
        </w:rPr>
        <w:t>The type of patient's re</w:t>
      </w:r>
      <w:r>
        <w:rPr>
          <w:color w:val="auto"/>
          <w:szCs w:val="28"/>
          <w:lang w:val="en-US" w:eastAsia="ar-SA"/>
        </w:rPr>
        <w:t>action</w:t>
      </w:r>
      <w:r w:rsidRPr="000912C7">
        <w:rPr>
          <w:color w:val="auto"/>
          <w:szCs w:val="28"/>
          <w:lang w:val="en-US" w:eastAsia="ar-SA"/>
        </w:rPr>
        <w:t xml:space="preserve"> to an illness or problem.</w:t>
      </w:r>
      <w:proofErr w:type="gramEnd"/>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 xml:space="preserve">29. Social and cultural stereotypes in communication. </w:t>
      </w:r>
      <w:proofErr w:type="gramStart"/>
      <w:r w:rsidRPr="000912C7">
        <w:rPr>
          <w:color w:val="auto"/>
          <w:szCs w:val="28"/>
          <w:lang w:val="en-US" w:eastAsia="ar-SA"/>
        </w:rPr>
        <w:t>Their consideration in communication.</w:t>
      </w:r>
      <w:proofErr w:type="gramEnd"/>
    </w:p>
    <w:p w:rsid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 xml:space="preserve">30. The concept of compliance. </w:t>
      </w:r>
      <w:proofErr w:type="gramStart"/>
      <w:r w:rsidRPr="000912C7">
        <w:rPr>
          <w:color w:val="auto"/>
          <w:szCs w:val="28"/>
          <w:lang w:val="en-US" w:eastAsia="ar-SA"/>
        </w:rPr>
        <w:t>Types of compliance.</w:t>
      </w:r>
      <w:proofErr w:type="gramEnd"/>
    </w:p>
    <w:p w:rsidR="000912C7" w:rsidRPr="000912C7" w:rsidRDefault="000912C7" w:rsidP="003A5104">
      <w:pPr>
        <w:tabs>
          <w:tab w:val="left" w:pos="0"/>
        </w:tabs>
        <w:suppressAutoHyphens/>
        <w:spacing w:after="0" w:line="240" w:lineRule="auto"/>
        <w:ind w:right="0" w:firstLine="567"/>
        <w:rPr>
          <w:color w:val="auto"/>
          <w:szCs w:val="28"/>
          <w:lang w:val="en-US" w:eastAsia="ar-SA"/>
        </w:rPr>
      </w:pPr>
      <w:r>
        <w:rPr>
          <w:color w:val="auto"/>
          <w:szCs w:val="28"/>
          <w:lang w:val="en-US" w:eastAsia="ar-SA"/>
        </w:rPr>
        <w:t>31. Providing</w:t>
      </w:r>
      <w:r w:rsidRPr="000912C7">
        <w:rPr>
          <w:color w:val="auto"/>
          <w:szCs w:val="28"/>
          <w:lang w:val="en-US" w:eastAsia="ar-SA"/>
        </w:rPr>
        <w:t xml:space="preserve"> information on current diagnosis and next steps in treatment.</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32. Staff relations and medical teams.</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lastRenderedPageBreak/>
        <w:t xml:space="preserve">33. The distribution of roles in the team. The benefits of group work. </w:t>
      </w:r>
      <w:proofErr w:type="gramStart"/>
      <w:r w:rsidRPr="000912C7">
        <w:rPr>
          <w:color w:val="auto"/>
          <w:szCs w:val="28"/>
          <w:lang w:val="en-US" w:eastAsia="ar-SA"/>
        </w:rPr>
        <w:t>The difficulties of group work and ways to overcome them.</w:t>
      </w:r>
      <w:proofErr w:type="gramEnd"/>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34. Building an effective team, medical team composition.</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35. Conflict management methods.</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36. Valuable and invaluable judgments: examples, application techniques.</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37. Self-expression as a means of conflict management.</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38. The concept of psychological boundaries.</w:t>
      </w:r>
    </w:p>
    <w:p w:rsidR="000912C7" w:rsidRP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39. Levels of sovereignty of psychological space.</w:t>
      </w:r>
    </w:p>
    <w:p w:rsidR="000912C7" w:rsidRDefault="000912C7" w:rsidP="003A5104">
      <w:pPr>
        <w:tabs>
          <w:tab w:val="left" w:pos="0"/>
        </w:tabs>
        <w:suppressAutoHyphens/>
        <w:spacing w:after="0" w:line="240" w:lineRule="auto"/>
        <w:ind w:right="0" w:firstLine="567"/>
        <w:rPr>
          <w:color w:val="auto"/>
          <w:szCs w:val="28"/>
          <w:lang w:val="en-US" w:eastAsia="ar-SA"/>
        </w:rPr>
      </w:pPr>
      <w:r w:rsidRPr="000912C7">
        <w:rPr>
          <w:color w:val="auto"/>
          <w:szCs w:val="28"/>
          <w:lang w:val="en-US" w:eastAsia="ar-SA"/>
        </w:rPr>
        <w:t>40. Ethical principles of communication in the medical environment.</w:t>
      </w:r>
    </w:p>
    <w:p w:rsidR="00404F7B" w:rsidRPr="001A1613" w:rsidRDefault="00404F7B" w:rsidP="003A5104">
      <w:pPr>
        <w:tabs>
          <w:tab w:val="left" w:pos="0"/>
        </w:tabs>
        <w:spacing w:after="0" w:line="259" w:lineRule="auto"/>
        <w:ind w:right="0" w:firstLine="0"/>
        <w:jc w:val="left"/>
        <w:rPr>
          <w:lang w:val="en-US"/>
        </w:rPr>
      </w:pPr>
      <w:bookmarkStart w:id="1" w:name="_Hlk19698352"/>
      <w:bookmarkStart w:id="2" w:name="_Hlk19698378"/>
    </w:p>
    <w:p w:rsidR="00404F7B" w:rsidRPr="007272BA" w:rsidRDefault="00574810" w:rsidP="003A5104">
      <w:pPr>
        <w:pStyle w:val="1"/>
        <w:tabs>
          <w:tab w:val="left" w:pos="0"/>
        </w:tabs>
        <w:spacing w:after="3" w:line="259" w:lineRule="auto"/>
        <w:ind w:left="0" w:right="542"/>
        <w:jc w:val="center"/>
        <w:rPr>
          <w:lang w:val="en-US"/>
        </w:rPr>
      </w:pPr>
      <w:bookmarkStart w:id="3" w:name="_Hlk19453362"/>
      <w:bookmarkEnd w:id="1"/>
      <w:r>
        <w:t xml:space="preserve">LITERATURE </w:t>
      </w:r>
      <w:r w:rsidR="007272BA">
        <w:rPr>
          <w:lang w:val="en-US"/>
        </w:rPr>
        <w:t>(Basic)</w:t>
      </w:r>
    </w:p>
    <w:bookmarkEnd w:id="3"/>
    <w:p w:rsidR="00404F7B" w:rsidRDefault="00574810" w:rsidP="003A5104">
      <w:pPr>
        <w:tabs>
          <w:tab w:val="left" w:pos="0"/>
        </w:tabs>
        <w:spacing w:after="0" w:line="259" w:lineRule="auto"/>
        <w:ind w:right="0" w:firstLine="0"/>
        <w:jc w:val="left"/>
      </w:pPr>
      <w:r>
        <w:t xml:space="preserve"> </w:t>
      </w:r>
    </w:p>
    <w:p w:rsidR="00DD69C4" w:rsidRPr="00297889" w:rsidRDefault="00DD69C4" w:rsidP="003A5104">
      <w:pPr>
        <w:pStyle w:val="a3"/>
        <w:numPr>
          <w:ilvl w:val="0"/>
          <w:numId w:val="12"/>
        </w:numPr>
        <w:tabs>
          <w:tab w:val="left" w:pos="0"/>
        </w:tabs>
        <w:spacing w:after="0" w:line="259" w:lineRule="auto"/>
        <w:ind w:left="0" w:right="0"/>
        <w:rPr>
          <w:lang w:val="en-US"/>
        </w:rPr>
      </w:pPr>
      <w:r w:rsidRPr="00F06919">
        <w:rPr>
          <w:i/>
          <w:iCs/>
          <w:lang w:val="en-US"/>
        </w:rPr>
        <w:t>Communication Psychology: manual</w:t>
      </w:r>
      <w:r w:rsidRPr="00297889">
        <w:rPr>
          <w:lang w:val="en-US"/>
        </w:rPr>
        <w:t xml:space="preserve">. In 2 parts. Part </w:t>
      </w:r>
      <w:r w:rsidR="00F06919">
        <w:rPr>
          <w:lang w:val="en-US"/>
        </w:rPr>
        <w:t>1</w:t>
      </w:r>
      <w:r w:rsidRPr="00297889">
        <w:rPr>
          <w:lang w:val="en-US"/>
        </w:rPr>
        <w:t xml:space="preserve"> / comp. V. I. </w:t>
      </w:r>
      <w:proofErr w:type="spellStart"/>
      <w:r w:rsidRPr="00297889">
        <w:rPr>
          <w:lang w:val="en-US"/>
        </w:rPr>
        <w:t>Ponomaryov</w:t>
      </w:r>
      <w:proofErr w:type="spellEnd"/>
      <w:r w:rsidRPr="00297889">
        <w:rPr>
          <w:lang w:val="en-US"/>
        </w:rPr>
        <w:t xml:space="preserve">, А. А. </w:t>
      </w:r>
      <w:proofErr w:type="spellStart"/>
      <w:r w:rsidRPr="00297889">
        <w:rPr>
          <w:lang w:val="en-US"/>
        </w:rPr>
        <w:t>Osypenko</w:t>
      </w:r>
      <w:proofErr w:type="spellEnd"/>
      <w:r w:rsidRPr="00297889">
        <w:rPr>
          <w:lang w:val="en-US"/>
        </w:rPr>
        <w:t xml:space="preserve">, Ia. К. </w:t>
      </w:r>
      <w:proofErr w:type="spellStart"/>
      <w:r w:rsidRPr="00297889">
        <w:rPr>
          <w:lang w:val="en-US"/>
        </w:rPr>
        <w:t>Iagniuk</w:t>
      </w:r>
      <w:proofErr w:type="spellEnd"/>
      <w:r w:rsidRPr="00297889">
        <w:rPr>
          <w:lang w:val="en-US"/>
        </w:rPr>
        <w:t xml:space="preserve">. – </w:t>
      </w:r>
      <w:proofErr w:type="spellStart"/>
      <w:r w:rsidRPr="00297889">
        <w:rPr>
          <w:lang w:val="en-US"/>
        </w:rPr>
        <w:t>Kh</w:t>
      </w:r>
      <w:proofErr w:type="spellEnd"/>
      <w:proofErr w:type="gramStart"/>
      <w:r w:rsidRPr="00297889">
        <w:rPr>
          <w:lang w:val="en-US"/>
        </w:rPr>
        <w:t>. :</w:t>
      </w:r>
      <w:proofErr w:type="gramEnd"/>
      <w:r w:rsidRPr="00297889">
        <w:rPr>
          <w:lang w:val="en-US"/>
        </w:rPr>
        <w:t xml:space="preserve"> V. N. </w:t>
      </w:r>
      <w:proofErr w:type="spellStart"/>
      <w:r w:rsidRPr="00297889">
        <w:rPr>
          <w:lang w:val="en-US"/>
        </w:rPr>
        <w:t>Karazin</w:t>
      </w:r>
      <w:proofErr w:type="spellEnd"/>
      <w:r w:rsidRPr="00297889">
        <w:rPr>
          <w:lang w:val="en-US"/>
        </w:rPr>
        <w:t xml:space="preserve"> </w:t>
      </w:r>
      <w:proofErr w:type="spellStart"/>
      <w:r w:rsidRPr="00297889">
        <w:rPr>
          <w:lang w:val="en-US"/>
        </w:rPr>
        <w:t>Kharkiv</w:t>
      </w:r>
      <w:proofErr w:type="spellEnd"/>
      <w:r w:rsidRPr="00297889">
        <w:rPr>
          <w:lang w:val="en-US"/>
        </w:rPr>
        <w:t xml:space="preserve"> National University, 2016. – 156 p.</w:t>
      </w:r>
    </w:p>
    <w:p w:rsidR="00DD69C4" w:rsidRPr="00297889" w:rsidRDefault="00DD69C4" w:rsidP="003A5104">
      <w:pPr>
        <w:pStyle w:val="a3"/>
        <w:numPr>
          <w:ilvl w:val="0"/>
          <w:numId w:val="12"/>
        </w:numPr>
        <w:tabs>
          <w:tab w:val="left" w:pos="0"/>
        </w:tabs>
        <w:spacing w:after="0" w:line="259" w:lineRule="auto"/>
        <w:ind w:left="0" w:right="0"/>
        <w:rPr>
          <w:lang w:val="en-US"/>
        </w:rPr>
      </w:pPr>
      <w:proofErr w:type="spellStart"/>
      <w:r w:rsidRPr="00297889">
        <w:rPr>
          <w:lang w:val="en-US"/>
        </w:rPr>
        <w:t>DiMatteo</w:t>
      </w:r>
      <w:proofErr w:type="spellEnd"/>
      <w:r w:rsidRPr="00297889">
        <w:rPr>
          <w:lang w:val="en-US"/>
        </w:rPr>
        <w:t xml:space="preserve"> M. R. (2004). Social Support and Patient Adherence to Medical Treatment: A Meta-Analysis. </w:t>
      </w:r>
      <w:r w:rsidRPr="00F06919">
        <w:rPr>
          <w:i/>
          <w:iCs/>
          <w:lang w:val="en-US"/>
        </w:rPr>
        <w:t>Health Psychology</w:t>
      </w:r>
      <w:r w:rsidRPr="00297889">
        <w:rPr>
          <w:lang w:val="en-US"/>
        </w:rPr>
        <w:t>, Vol. 23, No. 2, 207–218.</w:t>
      </w:r>
    </w:p>
    <w:p w:rsidR="00DD69C4" w:rsidRPr="00F84089" w:rsidRDefault="00DD69C4" w:rsidP="003A5104">
      <w:pPr>
        <w:pStyle w:val="a3"/>
        <w:numPr>
          <w:ilvl w:val="0"/>
          <w:numId w:val="12"/>
        </w:numPr>
        <w:tabs>
          <w:tab w:val="left" w:pos="0"/>
        </w:tabs>
        <w:spacing w:after="0" w:line="259" w:lineRule="auto"/>
        <w:ind w:left="0" w:right="0"/>
        <w:rPr>
          <w:lang w:val="en-US"/>
        </w:rPr>
      </w:pPr>
      <w:r w:rsidRPr="00F84089">
        <w:rPr>
          <w:lang w:val="en-US"/>
        </w:rPr>
        <w:t xml:space="preserve">Neo L. F. </w:t>
      </w:r>
      <w:r>
        <w:rPr>
          <w:lang w:val="en-US"/>
        </w:rPr>
        <w:t xml:space="preserve">(2011). </w:t>
      </w:r>
      <w:r w:rsidRPr="00F84089">
        <w:rPr>
          <w:lang w:val="en-US"/>
        </w:rPr>
        <w:t>Working toward the best doctor-patient communication</w:t>
      </w:r>
      <w:r>
        <w:rPr>
          <w:lang w:val="en-US"/>
        </w:rPr>
        <w:t xml:space="preserve">. </w:t>
      </w:r>
      <w:r w:rsidRPr="00F84089">
        <w:rPr>
          <w:lang w:val="en-US"/>
        </w:rPr>
        <w:t>Singapore Med</w:t>
      </w:r>
      <w:r>
        <w:rPr>
          <w:lang w:val="en-US"/>
        </w:rPr>
        <w:t>ical</w:t>
      </w:r>
      <w:r w:rsidRPr="00F84089">
        <w:rPr>
          <w:lang w:val="en-US"/>
        </w:rPr>
        <w:t xml:space="preserve"> J</w:t>
      </w:r>
      <w:r>
        <w:rPr>
          <w:lang w:val="en-US"/>
        </w:rPr>
        <w:t>ournal,</w:t>
      </w:r>
      <w:r w:rsidRPr="00F84089">
        <w:rPr>
          <w:lang w:val="en-US"/>
        </w:rPr>
        <w:t xml:space="preserve"> 52(10): 720</w:t>
      </w:r>
      <w:r>
        <w:rPr>
          <w:lang w:val="en-US"/>
        </w:rPr>
        <w:t>.</w:t>
      </w:r>
    </w:p>
    <w:p w:rsidR="00DD69C4" w:rsidRPr="00297889" w:rsidRDefault="00DD69C4" w:rsidP="003A5104">
      <w:pPr>
        <w:pStyle w:val="a3"/>
        <w:numPr>
          <w:ilvl w:val="0"/>
          <w:numId w:val="12"/>
        </w:numPr>
        <w:tabs>
          <w:tab w:val="left" w:pos="0"/>
        </w:tabs>
        <w:spacing w:after="0" w:line="259" w:lineRule="auto"/>
        <w:ind w:left="0" w:right="0"/>
        <w:rPr>
          <w:lang w:val="en-US"/>
        </w:rPr>
      </w:pPr>
      <w:r w:rsidRPr="00297889">
        <w:rPr>
          <w:lang w:val="fr-FR"/>
        </w:rPr>
        <w:t xml:space="preserve">Ong L. M. L., De Haes J. C. J., Hoos A. M., Lammes F. B. (1995). </w:t>
      </w:r>
      <w:r w:rsidRPr="00297889">
        <w:rPr>
          <w:lang w:val="en-US"/>
        </w:rPr>
        <w:t xml:space="preserve">Doctor-patient communication: a review of the literature. </w:t>
      </w:r>
      <w:r w:rsidRPr="00F06919">
        <w:rPr>
          <w:i/>
          <w:iCs/>
          <w:lang w:val="en-US"/>
        </w:rPr>
        <w:t>Social Science and Medicine.</w:t>
      </w:r>
      <w:r w:rsidRPr="00297889">
        <w:rPr>
          <w:lang w:val="en-US"/>
        </w:rPr>
        <w:t xml:space="preserve"> Vol. 40, No. 7, pp. 903-918. </w:t>
      </w:r>
    </w:p>
    <w:p w:rsidR="00DD69C4" w:rsidRDefault="00DD69C4" w:rsidP="003A5104">
      <w:pPr>
        <w:pStyle w:val="a3"/>
        <w:numPr>
          <w:ilvl w:val="0"/>
          <w:numId w:val="12"/>
        </w:numPr>
        <w:tabs>
          <w:tab w:val="left" w:pos="0"/>
        </w:tabs>
        <w:spacing w:after="0" w:line="259" w:lineRule="auto"/>
        <w:ind w:left="0" w:right="0"/>
        <w:rPr>
          <w:lang w:val="en-US"/>
        </w:rPr>
      </w:pPr>
      <w:proofErr w:type="spellStart"/>
      <w:r w:rsidRPr="00670E4C">
        <w:rPr>
          <w:lang w:val="en-US"/>
        </w:rPr>
        <w:t>Warnecke</w:t>
      </w:r>
      <w:proofErr w:type="spellEnd"/>
      <w:r>
        <w:rPr>
          <w:lang w:val="en-US"/>
        </w:rPr>
        <w:t xml:space="preserve"> E. (2014). </w:t>
      </w:r>
      <w:r w:rsidRPr="00670E4C">
        <w:rPr>
          <w:lang w:val="en-US"/>
        </w:rPr>
        <w:t>The art of communication</w:t>
      </w:r>
      <w:r>
        <w:rPr>
          <w:lang w:val="en-US"/>
        </w:rPr>
        <w:t xml:space="preserve">. </w:t>
      </w:r>
      <w:r w:rsidRPr="00F06919">
        <w:rPr>
          <w:i/>
          <w:iCs/>
          <w:lang w:val="en-US"/>
        </w:rPr>
        <w:t>Australian Family Physician</w:t>
      </w:r>
      <w:r>
        <w:rPr>
          <w:lang w:val="en-US"/>
        </w:rPr>
        <w:t>. Vol. 43, No. 3, pp. 156-158.</w:t>
      </w:r>
    </w:p>
    <w:p w:rsidR="007272BA" w:rsidRPr="00670E4C" w:rsidRDefault="007272BA" w:rsidP="003A5104">
      <w:pPr>
        <w:tabs>
          <w:tab w:val="left" w:pos="0"/>
        </w:tabs>
        <w:ind w:right="63" w:firstLine="0"/>
        <w:rPr>
          <w:lang w:val="en-US"/>
        </w:rPr>
      </w:pPr>
    </w:p>
    <w:p w:rsidR="007272BA" w:rsidRPr="007272BA" w:rsidRDefault="007272BA" w:rsidP="003A5104">
      <w:pPr>
        <w:pStyle w:val="1"/>
        <w:tabs>
          <w:tab w:val="left" w:pos="0"/>
        </w:tabs>
        <w:spacing w:after="3" w:line="259" w:lineRule="auto"/>
        <w:ind w:left="0" w:right="542"/>
        <w:jc w:val="center"/>
        <w:rPr>
          <w:lang w:val="en-US"/>
        </w:rPr>
      </w:pPr>
      <w:r w:rsidRPr="00496B51">
        <w:rPr>
          <w:lang w:val="en-US"/>
        </w:rPr>
        <w:t xml:space="preserve">LITERATURE </w:t>
      </w:r>
      <w:r>
        <w:rPr>
          <w:lang w:val="en-US"/>
        </w:rPr>
        <w:t>(Additional)</w:t>
      </w:r>
    </w:p>
    <w:p w:rsidR="0002236B" w:rsidRPr="00A040CA" w:rsidRDefault="0002236B" w:rsidP="003A5104">
      <w:pPr>
        <w:pStyle w:val="a3"/>
        <w:numPr>
          <w:ilvl w:val="0"/>
          <w:numId w:val="11"/>
        </w:numPr>
        <w:tabs>
          <w:tab w:val="left" w:pos="0"/>
        </w:tabs>
        <w:ind w:left="0" w:right="63"/>
        <w:rPr>
          <w:szCs w:val="28"/>
          <w:lang w:val="en-US"/>
        </w:rPr>
      </w:pPr>
      <w:r w:rsidRPr="00A040CA">
        <w:rPr>
          <w:szCs w:val="28"/>
          <w:lang w:val="en-US"/>
        </w:rPr>
        <w:t xml:space="preserve">Barry J. Evans, Robb O. Stanley, Greg J. </w:t>
      </w:r>
      <w:proofErr w:type="spellStart"/>
      <w:r w:rsidRPr="00A040CA">
        <w:rPr>
          <w:szCs w:val="28"/>
          <w:lang w:val="en-US"/>
        </w:rPr>
        <w:t>Coman</w:t>
      </w:r>
      <w:proofErr w:type="spellEnd"/>
      <w:r w:rsidRPr="00A040CA">
        <w:rPr>
          <w:szCs w:val="28"/>
          <w:lang w:val="en-US"/>
        </w:rPr>
        <w:t xml:space="preserve"> &amp; Vikki </w:t>
      </w:r>
      <w:proofErr w:type="spellStart"/>
      <w:r w:rsidRPr="00A040CA">
        <w:rPr>
          <w:szCs w:val="28"/>
          <w:lang w:val="en-US"/>
        </w:rPr>
        <w:t>Sinnott</w:t>
      </w:r>
      <w:proofErr w:type="spellEnd"/>
      <w:r w:rsidRPr="00A040CA">
        <w:rPr>
          <w:szCs w:val="28"/>
          <w:lang w:val="en-US"/>
        </w:rPr>
        <w:t xml:space="preserve"> (1992). Measuring medical students' communication skills: Development and evaluation of an interview rating scale. </w:t>
      </w:r>
      <w:r w:rsidRPr="00A040CA">
        <w:rPr>
          <w:i/>
          <w:iCs/>
          <w:szCs w:val="28"/>
          <w:lang w:val="en-US"/>
        </w:rPr>
        <w:t>Psychology &amp; Health</w:t>
      </w:r>
      <w:r w:rsidRPr="00A040CA">
        <w:rPr>
          <w:szCs w:val="28"/>
          <w:lang w:val="en-US"/>
        </w:rPr>
        <w:t xml:space="preserve">, </w:t>
      </w:r>
      <w:r w:rsidRPr="00A040CA">
        <w:rPr>
          <w:i/>
          <w:iCs/>
          <w:szCs w:val="28"/>
          <w:lang w:val="en-US"/>
        </w:rPr>
        <w:t>6</w:t>
      </w:r>
      <w:r w:rsidRPr="00A040CA">
        <w:rPr>
          <w:szCs w:val="28"/>
          <w:lang w:val="en-US"/>
        </w:rPr>
        <w:t xml:space="preserve"> (3), pp. 213-225.</w:t>
      </w:r>
    </w:p>
    <w:p w:rsidR="0002236B" w:rsidRPr="00A040CA" w:rsidRDefault="0002236B" w:rsidP="003A5104">
      <w:pPr>
        <w:pStyle w:val="a3"/>
        <w:numPr>
          <w:ilvl w:val="0"/>
          <w:numId w:val="11"/>
        </w:numPr>
        <w:tabs>
          <w:tab w:val="left" w:pos="0"/>
        </w:tabs>
        <w:ind w:left="0" w:right="63"/>
        <w:rPr>
          <w:szCs w:val="28"/>
          <w:lang w:val="en-US"/>
        </w:rPr>
      </w:pPr>
      <w:proofErr w:type="spellStart"/>
      <w:r w:rsidRPr="00A040CA">
        <w:rPr>
          <w:szCs w:val="28"/>
          <w:lang w:val="en-US"/>
        </w:rPr>
        <w:t>Galanti</w:t>
      </w:r>
      <w:proofErr w:type="spellEnd"/>
      <w:r w:rsidRPr="00A040CA">
        <w:rPr>
          <w:szCs w:val="28"/>
          <w:lang w:val="en-US"/>
        </w:rPr>
        <w:t xml:space="preserve">, G. (2004). </w:t>
      </w:r>
      <w:r w:rsidRPr="00A040CA">
        <w:rPr>
          <w:i/>
          <w:iCs/>
          <w:szCs w:val="28"/>
          <w:lang w:val="en-US"/>
        </w:rPr>
        <w:t>Caring for patients from different cultures: Case studies from American hospitals</w:t>
      </w:r>
      <w:r w:rsidRPr="00A040CA">
        <w:rPr>
          <w:szCs w:val="28"/>
          <w:lang w:val="en-US"/>
        </w:rPr>
        <w:t>. Philadelphia: University of Pennsylvania Press.</w:t>
      </w:r>
    </w:p>
    <w:p w:rsidR="0002236B" w:rsidRPr="00A040CA" w:rsidRDefault="0002236B" w:rsidP="003A5104">
      <w:pPr>
        <w:pStyle w:val="a3"/>
        <w:numPr>
          <w:ilvl w:val="0"/>
          <w:numId w:val="11"/>
        </w:numPr>
        <w:tabs>
          <w:tab w:val="left" w:pos="0"/>
        </w:tabs>
        <w:ind w:left="0" w:right="63"/>
        <w:rPr>
          <w:szCs w:val="28"/>
          <w:lang w:val="en-US"/>
        </w:rPr>
      </w:pPr>
      <w:proofErr w:type="spellStart"/>
      <w:r w:rsidRPr="00A040CA">
        <w:rPr>
          <w:szCs w:val="28"/>
          <w:lang w:val="en-US"/>
        </w:rPr>
        <w:t>Gurung</w:t>
      </w:r>
      <w:proofErr w:type="spellEnd"/>
      <w:r w:rsidRPr="00A040CA">
        <w:rPr>
          <w:szCs w:val="28"/>
          <w:lang w:val="en-US"/>
        </w:rPr>
        <w:t xml:space="preserve"> R. </w:t>
      </w:r>
      <w:r w:rsidRPr="00A040CA">
        <w:rPr>
          <w:i/>
          <w:iCs/>
          <w:szCs w:val="28"/>
          <w:lang w:val="en-US"/>
        </w:rPr>
        <w:t>Health Psychology: A Cultural Approach</w:t>
      </w:r>
      <w:r w:rsidRPr="00A040CA">
        <w:rPr>
          <w:szCs w:val="28"/>
          <w:lang w:val="en-US"/>
        </w:rPr>
        <w:t xml:space="preserve">. – 2nd edition / R. </w:t>
      </w:r>
      <w:proofErr w:type="spellStart"/>
      <w:r w:rsidRPr="00A040CA">
        <w:rPr>
          <w:szCs w:val="28"/>
          <w:lang w:val="en-US"/>
        </w:rPr>
        <w:t>Gurung</w:t>
      </w:r>
      <w:proofErr w:type="spellEnd"/>
      <w:r w:rsidRPr="00A040CA">
        <w:rPr>
          <w:szCs w:val="28"/>
          <w:lang w:val="en-US"/>
        </w:rPr>
        <w:t xml:space="preserve">. – Belmont, CA, USA: Wadsworth, 2010. – 518 p. Chapter 8: Factors surrounding illness. </w:t>
      </w:r>
    </w:p>
    <w:p w:rsidR="00A040CA" w:rsidRPr="00A040CA" w:rsidRDefault="00A040CA" w:rsidP="003A5104">
      <w:pPr>
        <w:pStyle w:val="a3"/>
        <w:numPr>
          <w:ilvl w:val="0"/>
          <w:numId w:val="11"/>
        </w:numPr>
        <w:shd w:val="clear" w:color="auto" w:fill="FFFFFF"/>
        <w:tabs>
          <w:tab w:val="left" w:pos="0"/>
        </w:tabs>
        <w:ind w:left="0"/>
        <w:rPr>
          <w:szCs w:val="28"/>
          <w:lang w:val="en-US"/>
        </w:rPr>
      </w:pPr>
      <w:r w:rsidRPr="00A040CA">
        <w:rPr>
          <w:szCs w:val="28"/>
          <w:lang w:val="en-US"/>
        </w:rPr>
        <w:t>Jimmy B</w:t>
      </w:r>
      <w:r w:rsidR="006A790A">
        <w:rPr>
          <w:szCs w:val="28"/>
          <w:lang w:val="en-US"/>
        </w:rPr>
        <w:t>.</w:t>
      </w:r>
      <w:r w:rsidRPr="00A040CA">
        <w:rPr>
          <w:szCs w:val="28"/>
          <w:lang w:val="en-US"/>
        </w:rPr>
        <w:t>, Jose J. (</w:t>
      </w:r>
      <w:r w:rsidRPr="00A040CA">
        <w:rPr>
          <w:rStyle w:val="citation-publication-date"/>
          <w:szCs w:val="28"/>
          <w:lang w:val="en-US"/>
        </w:rPr>
        <w:t>2011</w:t>
      </w:r>
      <w:r w:rsidR="006A790A">
        <w:rPr>
          <w:rStyle w:val="citation-publication-date"/>
          <w:szCs w:val="28"/>
          <w:lang w:val="en-US"/>
        </w:rPr>
        <w:t>)</w:t>
      </w:r>
      <w:r w:rsidRPr="00A040CA">
        <w:rPr>
          <w:rStyle w:val="citation-publication-date"/>
          <w:szCs w:val="28"/>
          <w:lang w:val="en-US"/>
        </w:rPr>
        <w:t xml:space="preserve">. </w:t>
      </w:r>
      <w:r w:rsidRPr="00A040CA">
        <w:rPr>
          <w:szCs w:val="28"/>
          <w:lang w:val="en-US"/>
        </w:rPr>
        <w:t>Patient Medication Adherence: Measures in Daily Practice. Oman Med J.</w:t>
      </w:r>
      <w:r w:rsidRPr="00A040CA">
        <w:rPr>
          <w:rStyle w:val="citation-publication-date"/>
          <w:szCs w:val="28"/>
          <w:lang w:val="en-US"/>
        </w:rPr>
        <w:t>; </w:t>
      </w:r>
      <w:r w:rsidRPr="00A040CA">
        <w:rPr>
          <w:szCs w:val="28"/>
          <w:lang w:val="en-US"/>
        </w:rPr>
        <w:t>26(3): 155–159. </w:t>
      </w:r>
      <w:proofErr w:type="spellStart"/>
      <w:r w:rsidRPr="00A040CA">
        <w:rPr>
          <w:rStyle w:val="doi"/>
          <w:rFonts w:eastAsiaTheme="majorEastAsia"/>
          <w:szCs w:val="28"/>
          <w:lang w:val="en-US"/>
        </w:rPr>
        <w:t>doi</w:t>
      </w:r>
      <w:proofErr w:type="spellEnd"/>
      <w:r w:rsidRPr="00A040CA">
        <w:rPr>
          <w:rStyle w:val="doi"/>
          <w:rFonts w:eastAsiaTheme="majorEastAsia"/>
          <w:szCs w:val="28"/>
          <w:lang w:val="en-US"/>
        </w:rPr>
        <w:t>: 10.5001/omj.2011.38</w:t>
      </w:r>
    </w:p>
    <w:p w:rsidR="00F11DD9" w:rsidRPr="00A040CA" w:rsidRDefault="00F11DD9" w:rsidP="003A5104">
      <w:pPr>
        <w:pStyle w:val="a3"/>
        <w:numPr>
          <w:ilvl w:val="0"/>
          <w:numId w:val="11"/>
        </w:numPr>
        <w:tabs>
          <w:tab w:val="left" w:pos="0"/>
        </w:tabs>
        <w:ind w:left="0" w:right="63"/>
        <w:rPr>
          <w:color w:val="auto"/>
          <w:szCs w:val="28"/>
          <w:lang w:val="en-US"/>
        </w:rPr>
      </w:pPr>
      <w:bookmarkStart w:id="4" w:name="bau1"/>
      <w:proofErr w:type="spellStart"/>
      <w:r w:rsidRPr="00A040CA">
        <w:rPr>
          <w:color w:val="auto"/>
          <w:szCs w:val="28"/>
          <w:lang w:val="en-US"/>
        </w:rPr>
        <w:t>Kaba</w:t>
      </w:r>
      <w:proofErr w:type="spellEnd"/>
      <w:r w:rsidRPr="00A040CA">
        <w:rPr>
          <w:color w:val="auto"/>
          <w:szCs w:val="28"/>
          <w:lang w:val="en-US"/>
        </w:rPr>
        <w:t xml:space="preserve"> </w:t>
      </w:r>
      <w:r w:rsidRPr="00A040CA">
        <w:rPr>
          <w:rStyle w:val="text"/>
          <w:rFonts w:eastAsiaTheme="majorEastAsia"/>
          <w:color w:val="auto"/>
          <w:szCs w:val="28"/>
          <w:lang w:val="en-US"/>
        </w:rPr>
        <w:t>R.</w:t>
      </w:r>
      <w:r w:rsidRPr="00A040CA">
        <w:rPr>
          <w:rStyle w:val="author-ref"/>
          <w:color w:val="auto"/>
          <w:szCs w:val="28"/>
          <w:vertAlign w:val="superscript"/>
          <w:lang w:val="en-US"/>
        </w:rPr>
        <w:t xml:space="preserve"> </w:t>
      </w:r>
      <w:bookmarkStart w:id="5" w:name="bau2"/>
      <w:bookmarkEnd w:id="4"/>
      <w:proofErr w:type="spellStart"/>
      <w:r w:rsidRPr="00A040CA">
        <w:rPr>
          <w:color w:val="auto"/>
          <w:szCs w:val="28"/>
          <w:lang w:val="en-US"/>
        </w:rPr>
        <w:t>Sooriakumaran</w:t>
      </w:r>
      <w:proofErr w:type="spellEnd"/>
      <w:r w:rsidRPr="00A040CA">
        <w:rPr>
          <w:color w:val="auto"/>
          <w:szCs w:val="28"/>
          <w:lang w:val="en-US"/>
        </w:rPr>
        <w:t xml:space="preserve"> </w:t>
      </w:r>
      <w:r w:rsidRPr="00A040CA">
        <w:rPr>
          <w:rStyle w:val="text"/>
          <w:rFonts w:eastAsiaTheme="majorEastAsia"/>
          <w:color w:val="auto"/>
          <w:szCs w:val="28"/>
          <w:lang w:val="en-US"/>
        </w:rPr>
        <w:t>P.</w:t>
      </w:r>
      <w:r w:rsidRPr="00A040CA">
        <w:rPr>
          <w:rStyle w:val="author-ref"/>
          <w:color w:val="auto"/>
          <w:szCs w:val="28"/>
          <w:vertAlign w:val="superscript"/>
          <w:lang w:val="en-US"/>
        </w:rPr>
        <w:t xml:space="preserve"> </w:t>
      </w:r>
      <w:bookmarkEnd w:id="5"/>
      <w:r w:rsidRPr="00A040CA">
        <w:rPr>
          <w:rStyle w:val="title-text"/>
          <w:color w:val="auto"/>
          <w:szCs w:val="28"/>
          <w:lang w:val="en-US"/>
        </w:rPr>
        <w:t>(</w:t>
      </w:r>
      <w:r w:rsidRPr="00A040CA">
        <w:rPr>
          <w:color w:val="auto"/>
          <w:szCs w:val="28"/>
          <w:lang w:val="en-US"/>
        </w:rPr>
        <w:t>2007</w:t>
      </w:r>
      <w:r w:rsidRPr="00A040CA">
        <w:rPr>
          <w:rStyle w:val="title-text"/>
          <w:color w:val="auto"/>
          <w:szCs w:val="28"/>
          <w:lang w:val="en-US"/>
        </w:rPr>
        <w:t>)</w:t>
      </w:r>
      <w:r w:rsidRPr="00A040CA">
        <w:rPr>
          <w:color w:val="auto"/>
          <w:szCs w:val="28"/>
          <w:lang w:val="en-US"/>
        </w:rPr>
        <w:t xml:space="preserve"> </w:t>
      </w:r>
      <w:proofErr w:type="gramStart"/>
      <w:r w:rsidRPr="00A040CA">
        <w:rPr>
          <w:rStyle w:val="title-text"/>
          <w:color w:val="auto"/>
          <w:szCs w:val="28"/>
          <w:lang w:val="en-US"/>
        </w:rPr>
        <w:t>The</w:t>
      </w:r>
      <w:proofErr w:type="gramEnd"/>
      <w:r w:rsidRPr="00A040CA">
        <w:rPr>
          <w:rStyle w:val="title-text"/>
          <w:color w:val="auto"/>
          <w:szCs w:val="28"/>
          <w:lang w:val="en-US"/>
        </w:rPr>
        <w:t xml:space="preserve"> evolution of the doctor-patient relationship</w:t>
      </w:r>
      <w:r w:rsidR="003F60DD" w:rsidRPr="00A040CA">
        <w:rPr>
          <w:rStyle w:val="title-text"/>
          <w:color w:val="auto"/>
          <w:szCs w:val="28"/>
          <w:lang w:val="en-US"/>
        </w:rPr>
        <w:t>.</w:t>
      </w:r>
      <w:r w:rsidRPr="00A040CA">
        <w:rPr>
          <w:rStyle w:val="title-text"/>
          <w:color w:val="auto"/>
          <w:szCs w:val="28"/>
          <w:lang w:val="en-US"/>
        </w:rPr>
        <w:t xml:space="preserve"> </w:t>
      </w:r>
      <w:r w:rsidRPr="00A040CA">
        <w:rPr>
          <w:i/>
          <w:color w:val="auto"/>
          <w:szCs w:val="28"/>
          <w:lang w:val="en-US"/>
        </w:rPr>
        <w:t xml:space="preserve">International Journal of </w:t>
      </w:r>
      <w:proofErr w:type="spellStart"/>
      <w:r w:rsidRPr="00A040CA">
        <w:rPr>
          <w:i/>
          <w:color w:val="auto"/>
          <w:szCs w:val="28"/>
          <w:lang w:val="en-US"/>
        </w:rPr>
        <w:t>Surger</w:t>
      </w:r>
      <w:proofErr w:type="spellEnd"/>
      <w:r w:rsidR="003F60DD" w:rsidRPr="00A040CA">
        <w:rPr>
          <w:i/>
          <w:color w:val="auto"/>
          <w:szCs w:val="28"/>
          <w:lang w:val="en-US"/>
        </w:rPr>
        <w:t>.</w:t>
      </w:r>
      <w:r w:rsidRPr="00A040CA">
        <w:rPr>
          <w:color w:val="auto"/>
          <w:szCs w:val="28"/>
          <w:lang w:val="en-US"/>
        </w:rPr>
        <w:t xml:space="preserve"> </w:t>
      </w:r>
      <w:hyperlink r:id="rId9" w:tooltip="Go to table of contents for this volume/issue" w:history="1">
        <w:r w:rsidRPr="00A040CA">
          <w:rPr>
            <w:rStyle w:val="a5"/>
            <w:color w:val="auto"/>
            <w:szCs w:val="28"/>
            <w:u w:val="none"/>
            <w:lang w:val="en-US"/>
          </w:rPr>
          <w:t>5</w:t>
        </w:r>
        <w:r w:rsidR="003F60DD" w:rsidRPr="00A040CA">
          <w:rPr>
            <w:rStyle w:val="a5"/>
            <w:color w:val="auto"/>
            <w:szCs w:val="28"/>
            <w:u w:val="none"/>
            <w:lang w:val="en-US"/>
          </w:rPr>
          <w:t>(</w:t>
        </w:r>
        <w:r w:rsidRPr="00A040CA">
          <w:rPr>
            <w:rStyle w:val="a5"/>
            <w:color w:val="auto"/>
            <w:szCs w:val="28"/>
            <w:u w:val="none"/>
            <w:lang w:val="en-US"/>
          </w:rPr>
          <w:t>1</w:t>
        </w:r>
      </w:hyperlink>
      <w:r w:rsidR="003F60DD" w:rsidRPr="00A040CA">
        <w:rPr>
          <w:color w:val="auto"/>
          <w:szCs w:val="28"/>
          <w:lang w:val="en-US"/>
        </w:rPr>
        <w:t>)</w:t>
      </w:r>
      <w:r w:rsidRPr="00A040CA">
        <w:rPr>
          <w:color w:val="auto"/>
          <w:szCs w:val="28"/>
          <w:lang w:val="en-US"/>
        </w:rPr>
        <w:t>, </w:t>
      </w:r>
      <w:r w:rsidR="003F60DD" w:rsidRPr="00A040CA">
        <w:rPr>
          <w:szCs w:val="28"/>
          <w:lang w:val="en-US"/>
        </w:rPr>
        <w:t>pp.</w:t>
      </w:r>
      <w:r w:rsidRPr="00A040CA">
        <w:rPr>
          <w:color w:val="auto"/>
          <w:szCs w:val="28"/>
          <w:lang w:val="en-US"/>
        </w:rPr>
        <w:t xml:space="preserve"> 57-65</w:t>
      </w:r>
      <w:r w:rsidR="003F60DD" w:rsidRPr="00A040CA">
        <w:rPr>
          <w:color w:val="auto"/>
          <w:szCs w:val="28"/>
          <w:lang w:val="en-US"/>
        </w:rPr>
        <w:t>.</w:t>
      </w:r>
    </w:p>
    <w:p w:rsidR="0002236B" w:rsidRPr="00A040CA" w:rsidRDefault="0002236B" w:rsidP="003A5104">
      <w:pPr>
        <w:pStyle w:val="a3"/>
        <w:numPr>
          <w:ilvl w:val="0"/>
          <w:numId w:val="11"/>
        </w:numPr>
        <w:tabs>
          <w:tab w:val="left" w:pos="0"/>
        </w:tabs>
        <w:ind w:left="0" w:right="63"/>
        <w:rPr>
          <w:szCs w:val="28"/>
          <w:lang w:val="en-US"/>
        </w:rPr>
      </w:pPr>
      <w:proofErr w:type="spellStart"/>
      <w:r w:rsidRPr="00A040CA">
        <w:rPr>
          <w:szCs w:val="28"/>
          <w:lang w:val="en-US"/>
        </w:rPr>
        <w:t>Kleinman</w:t>
      </w:r>
      <w:proofErr w:type="spellEnd"/>
      <w:r w:rsidRPr="00A040CA">
        <w:rPr>
          <w:szCs w:val="28"/>
          <w:lang w:val="en-US"/>
        </w:rPr>
        <w:t xml:space="preserve">, A., Eisenberg, L. &amp; Good, B. (1978). Culture, illness, and cure: Clinical lessons from anthropologic and cross-cultural research. </w:t>
      </w:r>
      <w:r w:rsidRPr="00A040CA">
        <w:rPr>
          <w:i/>
          <w:iCs/>
          <w:szCs w:val="28"/>
          <w:lang w:val="en-US"/>
        </w:rPr>
        <w:t>Annals of Internal Medicine, 88,</w:t>
      </w:r>
      <w:r w:rsidRPr="00A040CA">
        <w:rPr>
          <w:szCs w:val="28"/>
          <w:lang w:val="en-US"/>
        </w:rPr>
        <w:t xml:space="preserve"> 250-258.</w:t>
      </w:r>
    </w:p>
    <w:p w:rsidR="0002236B" w:rsidRPr="00535500" w:rsidRDefault="0002236B" w:rsidP="003A5104">
      <w:pPr>
        <w:pStyle w:val="a3"/>
        <w:numPr>
          <w:ilvl w:val="0"/>
          <w:numId w:val="11"/>
        </w:numPr>
        <w:tabs>
          <w:tab w:val="left" w:pos="0"/>
        </w:tabs>
        <w:ind w:left="0" w:right="63"/>
        <w:rPr>
          <w:szCs w:val="28"/>
          <w:lang w:val="en-US"/>
        </w:rPr>
      </w:pPr>
      <w:proofErr w:type="spellStart"/>
      <w:r w:rsidRPr="00A040CA">
        <w:rPr>
          <w:szCs w:val="28"/>
          <w:lang w:val="en-US"/>
        </w:rPr>
        <w:lastRenderedPageBreak/>
        <w:t>Nilchaikovit</w:t>
      </w:r>
      <w:proofErr w:type="spellEnd"/>
      <w:r w:rsidRPr="00A040CA">
        <w:rPr>
          <w:szCs w:val="28"/>
          <w:lang w:val="en-US"/>
        </w:rPr>
        <w:t xml:space="preserve">, T., Hill, J. M., &amp; Holland, J. C. (1993). The effects of culture on illness behavior and medical care: Asian and American differences. </w:t>
      </w:r>
      <w:r w:rsidRPr="00A040CA">
        <w:rPr>
          <w:i/>
          <w:iCs/>
          <w:szCs w:val="28"/>
          <w:lang w:val="en-US"/>
        </w:rPr>
        <w:t>General Hospital Psychiatry, 15</w:t>
      </w:r>
      <w:r w:rsidRPr="00A040CA">
        <w:rPr>
          <w:szCs w:val="28"/>
          <w:lang w:val="en-US"/>
        </w:rPr>
        <w:t>, 41-50.</w:t>
      </w:r>
    </w:p>
    <w:p w:rsidR="00535500" w:rsidRPr="00535500" w:rsidRDefault="00535500" w:rsidP="003A5104">
      <w:pPr>
        <w:pStyle w:val="a3"/>
        <w:numPr>
          <w:ilvl w:val="0"/>
          <w:numId w:val="11"/>
        </w:numPr>
        <w:tabs>
          <w:tab w:val="left" w:pos="0"/>
        </w:tabs>
        <w:ind w:left="0" w:right="63"/>
        <w:rPr>
          <w:szCs w:val="28"/>
          <w:lang w:val="en-US"/>
        </w:rPr>
      </w:pPr>
      <w:r w:rsidRPr="00535500">
        <w:rPr>
          <w:szCs w:val="28"/>
          <w:lang w:val="en-US"/>
        </w:rPr>
        <w:t xml:space="preserve">Starkey L. Critical thinking skills success. - NY: </w:t>
      </w:r>
      <w:proofErr w:type="spellStart"/>
      <w:r w:rsidRPr="00535500">
        <w:rPr>
          <w:szCs w:val="28"/>
          <w:lang w:val="en-US"/>
        </w:rPr>
        <w:t>LearningExpress</w:t>
      </w:r>
      <w:proofErr w:type="spellEnd"/>
      <w:r w:rsidRPr="00535500">
        <w:rPr>
          <w:szCs w:val="28"/>
          <w:lang w:val="en-US"/>
        </w:rPr>
        <w:t>, LLC, 2004. – 169 p.</w:t>
      </w:r>
    </w:p>
    <w:p w:rsidR="00A040CA" w:rsidRPr="00496B51" w:rsidRDefault="00A040CA" w:rsidP="003A5104">
      <w:pPr>
        <w:tabs>
          <w:tab w:val="left" w:pos="0"/>
        </w:tabs>
        <w:ind w:right="63" w:firstLine="0"/>
        <w:rPr>
          <w:lang w:val="en-US"/>
        </w:rPr>
      </w:pPr>
    </w:p>
    <w:p w:rsidR="007272BA" w:rsidRPr="00D767C4" w:rsidRDefault="00207251" w:rsidP="003A5104">
      <w:pPr>
        <w:tabs>
          <w:tab w:val="left" w:pos="0"/>
        </w:tabs>
        <w:ind w:right="63" w:firstLine="0"/>
        <w:jc w:val="center"/>
        <w:rPr>
          <w:b/>
          <w:bCs/>
          <w:lang w:val="en-US"/>
        </w:rPr>
      </w:pPr>
      <w:bookmarkStart w:id="6" w:name="_GoBack"/>
      <w:bookmarkEnd w:id="6"/>
      <w:r w:rsidRPr="00D767C4">
        <w:rPr>
          <w:b/>
          <w:bCs/>
          <w:lang w:val="en-US"/>
        </w:rPr>
        <w:t>Links to the Internet information resources, video lectures, and other methodological support</w:t>
      </w:r>
    </w:p>
    <w:p w:rsidR="00207251" w:rsidRPr="00207251" w:rsidRDefault="00207251" w:rsidP="003A5104">
      <w:pPr>
        <w:tabs>
          <w:tab w:val="left" w:pos="0"/>
        </w:tabs>
        <w:ind w:right="63" w:firstLine="0"/>
        <w:rPr>
          <w:lang w:val="en-US"/>
        </w:rPr>
      </w:pPr>
    </w:p>
    <w:p w:rsidR="00207251" w:rsidRDefault="00452FFF" w:rsidP="003A5104">
      <w:pPr>
        <w:pStyle w:val="a3"/>
        <w:numPr>
          <w:ilvl w:val="0"/>
          <w:numId w:val="10"/>
        </w:numPr>
        <w:tabs>
          <w:tab w:val="left" w:pos="0"/>
        </w:tabs>
        <w:ind w:left="0" w:right="63"/>
        <w:rPr>
          <w:lang w:val="en-US"/>
        </w:rPr>
      </w:pPr>
      <w:r w:rsidRPr="00452FFF">
        <w:rPr>
          <w:lang w:val="en-US"/>
        </w:rPr>
        <w:t>Blog Posts “Health Psychology – from theory to practice” – how to talk with patient</w:t>
      </w:r>
      <w:r>
        <w:rPr>
          <w:lang w:val="en-US"/>
        </w:rPr>
        <w:t>s</w:t>
      </w:r>
      <w:r w:rsidRPr="00452FFF">
        <w:rPr>
          <w:lang w:val="en-US"/>
        </w:rPr>
        <w:t xml:space="preserve"> about sensitive issues like losing weight</w:t>
      </w:r>
      <w:r>
        <w:rPr>
          <w:lang w:val="en-US"/>
        </w:rPr>
        <w:t xml:space="preserve"> etc</w:t>
      </w:r>
      <w:r w:rsidRPr="00452FFF">
        <w:rPr>
          <w:lang w:val="en-US"/>
        </w:rPr>
        <w:t>. URL:  practicalhealthpsychology.com</w:t>
      </w:r>
    </w:p>
    <w:p w:rsidR="00120AD0" w:rsidRPr="007A0D26" w:rsidRDefault="00120AD0" w:rsidP="003A5104">
      <w:pPr>
        <w:pStyle w:val="a3"/>
        <w:numPr>
          <w:ilvl w:val="0"/>
          <w:numId w:val="10"/>
        </w:numPr>
        <w:tabs>
          <w:tab w:val="left" w:pos="0"/>
        </w:tabs>
        <w:ind w:left="0" w:right="63"/>
        <w:rPr>
          <w:color w:val="000000" w:themeColor="text1"/>
          <w:lang w:val="en-US"/>
        </w:rPr>
      </w:pPr>
      <w:r w:rsidRPr="00120AD0">
        <w:rPr>
          <w:lang w:val="en-US"/>
        </w:rPr>
        <w:t>Weir</w:t>
      </w:r>
      <w:r>
        <w:rPr>
          <w:lang w:val="en-US"/>
        </w:rPr>
        <w:t xml:space="preserve"> </w:t>
      </w:r>
      <w:r w:rsidRPr="00120AD0">
        <w:rPr>
          <w:lang w:val="en-US"/>
        </w:rPr>
        <w:t>K</w:t>
      </w:r>
      <w:r>
        <w:rPr>
          <w:lang w:val="en-US"/>
        </w:rPr>
        <w:t>.</w:t>
      </w:r>
      <w:r w:rsidRPr="00120AD0">
        <w:rPr>
          <w:lang w:val="en-US"/>
        </w:rPr>
        <w:t xml:space="preserve"> Improving patient-physician communication</w:t>
      </w:r>
      <w:r>
        <w:rPr>
          <w:lang w:val="en-US"/>
        </w:rPr>
        <w:t xml:space="preserve">. URL: </w:t>
      </w:r>
      <w:hyperlink r:id="rId10" w:history="1">
        <w:r w:rsidR="00D532BA" w:rsidRPr="007A0D26">
          <w:rPr>
            <w:rStyle w:val="a5"/>
            <w:color w:val="000000" w:themeColor="text1"/>
            <w:lang w:val="en-US"/>
          </w:rPr>
          <w:t>https://www.apa.org/monitor/2012/11/patient-physician</w:t>
        </w:r>
      </w:hyperlink>
    </w:p>
    <w:p w:rsidR="00D532BA" w:rsidRPr="007A0D26" w:rsidRDefault="00D532BA" w:rsidP="003A5104">
      <w:pPr>
        <w:pStyle w:val="a3"/>
        <w:numPr>
          <w:ilvl w:val="0"/>
          <w:numId w:val="10"/>
        </w:numPr>
        <w:tabs>
          <w:tab w:val="left" w:pos="0"/>
        </w:tabs>
        <w:ind w:left="0" w:right="63"/>
        <w:rPr>
          <w:color w:val="000000" w:themeColor="text1"/>
          <w:lang w:val="en-US"/>
        </w:rPr>
      </w:pPr>
      <w:r w:rsidRPr="007A0D26">
        <w:rPr>
          <w:color w:val="000000" w:themeColor="text1"/>
          <w:lang w:val="en-US"/>
        </w:rPr>
        <w:t xml:space="preserve">AMSA leadership program. URL: </w:t>
      </w:r>
      <w:hyperlink r:id="rId11" w:history="1">
        <w:r w:rsidRPr="007A0D26">
          <w:rPr>
            <w:rStyle w:val="a5"/>
            <w:color w:val="000000" w:themeColor="text1"/>
            <w:lang w:val="en-US"/>
          </w:rPr>
          <w:t>https://www.amsa.org/events/leadership-program/</w:t>
        </w:r>
      </w:hyperlink>
      <w:r w:rsidRPr="007A0D26">
        <w:rPr>
          <w:color w:val="000000" w:themeColor="text1"/>
          <w:lang w:val="en-US"/>
        </w:rPr>
        <w:t xml:space="preserve">  </w:t>
      </w:r>
      <w:proofErr w:type="gramStart"/>
      <w:r w:rsidRPr="007A0D26">
        <w:rPr>
          <w:color w:val="000000" w:themeColor="text1"/>
          <w:lang w:val="en-US"/>
        </w:rPr>
        <w:t>The</w:t>
      </w:r>
      <w:proofErr w:type="gramEnd"/>
      <w:r w:rsidRPr="007A0D26">
        <w:rPr>
          <w:color w:val="000000" w:themeColor="text1"/>
          <w:lang w:val="en-US"/>
        </w:rPr>
        <w:t xml:space="preserve"> program is designed to bridge the gap in medical training between clinician and leader. You will gain insight into essential, often unknown or overwhelming to understand, business and interpersonal skills you’ll need as you advance in your career.</w:t>
      </w:r>
    </w:p>
    <w:p w:rsidR="00A040CA" w:rsidRPr="007A0D26" w:rsidRDefault="00A040CA" w:rsidP="003A5104">
      <w:pPr>
        <w:pStyle w:val="a3"/>
        <w:numPr>
          <w:ilvl w:val="0"/>
          <w:numId w:val="10"/>
        </w:numPr>
        <w:tabs>
          <w:tab w:val="left" w:pos="0"/>
        </w:tabs>
        <w:ind w:left="0" w:right="63"/>
        <w:rPr>
          <w:color w:val="000000" w:themeColor="text1"/>
          <w:szCs w:val="28"/>
          <w:lang w:val="en-US"/>
        </w:rPr>
      </w:pPr>
      <w:proofErr w:type="spellStart"/>
      <w:r w:rsidRPr="007A0D26">
        <w:rPr>
          <w:bCs/>
          <w:color w:val="000000" w:themeColor="text1"/>
          <w:szCs w:val="28"/>
          <w:shd w:val="clear" w:color="auto" w:fill="FFFFFF"/>
          <w:lang w:val="en-US"/>
        </w:rPr>
        <w:t>Panesar</w:t>
      </w:r>
      <w:proofErr w:type="spellEnd"/>
      <w:r w:rsidRPr="007A0D26">
        <w:rPr>
          <w:bCs/>
          <w:color w:val="000000" w:themeColor="text1"/>
          <w:szCs w:val="28"/>
          <w:shd w:val="clear" w:color="auto" w:fill="FFFFFF"/>
          <w:lang w:val="en-US"/>
        </w:rPr>
        <w:t xml:space="preserve"> Kiran, </w:t>
      </w:r>
      <w:proofErr w:type="spellStart"/>
      <w:r w:rsidRPr="007A0D26">
        <w:rPr>
          <w:bCs/>
          <w:color w:val="000000" w:themeColor="text1"/>
          <w:szCs w:val="28"/>
          <w:shd w:val="clear" w:color="auto" w:fill="FFFFFF"/>
          <w:lang w:val="en-US"/>
        </w:rPr>
        <w:t>BPharmS</w:t>
      </w:r>
      <w:proofErr w:type="spellEnd"/>
      <w:r w:rsidRPr="007A0D26">
        <w:rPr>
          <w:bCs/>
          <w:color w:val="000000" w:themeColor="text1"/>
          <w:szCs w:val="28"/>
          <w:shd w:val="clear" w:color="auto" w:fill="FFFFFF"/>
          <w:lang w:val="en-US"/>
        </w:rPr>
        <w:t xml:space="preserve"> (Hons), </w:t>
      </w:r>
      <w:proofErr w:type="spellStart"/>
      <w:r w:rsidRPr="007A0D26">
        <w:rPr>
          <w:bCs/>
          <w:color w:val="000000" w:themeColor="text1"/>
          <w:szCs w:val="28"/>
          <w:shd w:val="clear" w:color="auto" w:fill="FFFFFF"/>
          <w:lang w:val="en-US"/>
        </w:rPr>
        <w:t>MRPharmS</w:t>
      </w:r>
      <w:proofErr w:type="spellEnd"/>
      <w:r w:rsidRPr="007A0D26">
        <w:rPr>
          <w:bCs/>
          <w:color w:val="000000" w:themeColor="text1"/>
          <w:szCs w:val="28"/>
          <w:shd w:val="clear" w:color="auto" w:fill="FFFFFF"/>
          <w:lang w:val="en-US"/>
        </w:rPr>
        <w:t xml:space="preserve">, </w:t>
      </w:r>
      <w:proofErr w:type="spellStart"/>
      <w:r w:rsidRPr="007A0D26">
        <w:rPr>
          <w:bCs/>
          <w:color w:val="000000" w:themeColor="text1"/>
          <w:szCs w:val="28"/>
          <w:shd w:val="clear" w:color="auto" w:fill="FFFFFF"/>
          <w:lang w:val="en-US"/>
        </w:rPr>
        <w:t>RPh</w:t>
      </w:r>
      <w:proofErr w:type="spellEnd"/>
      <w:r w:rsidRPr="007A0D26">
        <w:rPr>
          <w:bCs/>
          <w:color w:val="000000" w:themeColor="text1"/>
          <w:szCs w:val="28"/>
          <w:shd w:val="clear" w:color="auto" w:fill="FFFFFF"/>
          <w:lang w:val="en-US"/>
        </w:rPr>
        <w:t xml:space="preserve">, </w:t>
      </w:r>
      <w:proofErr w:type="spellStart"/>
      <w:r w:rsidRPr="007A0D26">
        <w:rPr>
          <w:bCs/>
          <w:color w:val="000000" w:themeColor="text1"/>
          <w:szCs w:val="28"/>
          <w:shd w:val="clear" w:color="auto" w:fill="FFFFFF"/>
          <w:lang w:val="en-US"/>
        </w:rPr>
        <w:t>CPh</w:t>
      </w:r>
      <w:proofErr w:type="spellEnd"/>
      <w:r w:rsidRPr="007A0D26">
        <w:rPr>
          <w:bCs/>
          <w:color w:val="000000" w:themeColor="text1"/>
          <w:szCs w:val="28"/>
          <w:lang w:val="en-US"/>
        </w:rPr>
        <w:t xml:space="preserve">  Patient Compliance and Health Behavior Models</w:t>
      </w:r>
      <w:r w:rsidRPr="007A0D26">
        <w:rPr>
          <w:b/>
          <w:bCs/>
          <w:color w:val="000000" w:themeColor="text1"/>
          <w:szCs w:val="28"/>
          <w:lang w:val="en-US"/>
        </w:rPr>
        <w:t xml:space="preserve"> </w:t>
      </w:r>
      <w:r w:rsidRPr="007A0D26">
        <w:rPr>
          <w:color w:val="000000" w:themeColor="text1"/>
          <w:szCs w:val="28"/>
          <w:lang w:val="en-US"/>
        </w:rPr>
        <w:t xml:space="preserve">URL: </w:t>
      </w:r>
      <w:hyperlink r:id="rId12" w:history="1">
        <w:r w:rsidRPr="007A0D26">
          <w:rPr>
            <w:rStyle w:val="a5"/>
            <w:color w:val="000000" w:themeColor="text1"/>
            <w:szCs w:val="28"/>
            <w:lang w:val="en-US"/>
          </w:rPr>
          <w:t>https://www.uspharmacist.com/article/patient-compliance-and-health-behavior-models</w:t>
        </w:r>
      </w:hyperlink>
    </w:p>
    <w:p w:rsidR="00A040CA" w:rsidRPr="00D767C4" w:rsidRDefault="00F11DD9" w:rsidP="003A5104">
      <w:pPr>
        <w:pStyle w:val="a3"/>
        <w:numPr>
          <w:ilvl w:val="0"/>
          <w:numId w:val="10"/>
        </w:numPr>
        <w:shd w:val="clear" w:color="auto" w:fill="FFFFFF"/>
        <w:tabs>
          <w:tab w:val="left" w:pos="0"/>
        </w:tabs>
        <w:spacing w:after="0"/>
        <w:ind w:left="0" w:right="63"/>
        <w:rPr>
          <w:rStyle w:val="a5"/>
          <w:color w:val="000000" w:themeColor="text1"/>
          <w:u w:val="none"/>
          <w:lang w:val="en-US"/>
        </w:rPr>
      </w:pPr>
      <w:r w:rsidRPr="007A0D26">
        <w:rPr>
          <w:bCs/>
          <w:color w:val="000000" w:themeColor="text1"/>
          <w:szCs w:val="28"/>
          <w:lang w:val="en-US"/>
        </w:rPr>
        <w:t>Therapeutic Alliance Part 1.</w:t>
      </w:r>
      <w:r w:rsidRPr="007A0D26">
        <w:rPr>
          <w:b/>
          <w:bCs/>
          <w:color w:val="000000" w:themeColor="text1"/>
          <w:szCs w:val="28"/>
          <w:lang w:val="en-US"/>
        </w:rPr>
        <w:t xml:space="preserve"> </w:t>
      </w:r>
      <w:r w:rsidRPr="007A0D26">
        <w:rPr>
          <w:color w:val="000000" w:themeColor="text1"/>
          <w:szCs w:val="28"/>
          <w:shd w:val="clear" w:color="auto" w:fill="FFFFFF"/>
          <w:lang w:val="en-US"/>
        </w:rPr>
        <w:t>Psychotherapy podcast, psychiatry podcast</w:t>
      </w:r>
      <w:r w:rsidRPr="007A0D26">
        <w:rPr>
          <w:rFonts w:ascii="adobe-garamond-pro" w:hAnsi="adobe-garamond-pro"/>
          <w:color w:val="000000" w:themeColor="text1"/>
          <w:sz w:val="30"/>
          <w:szCs w:val="30"/>
          <w:shd w:val="clear" w:color="auto" w:fill="FFFFFF"/>
          <w:lang w:val="en-US"/>
        </w:rPr>
        <w:t xml:space="preserve"> </w:t>
      </w:r>
      <w:r w:rsidRPr="007A0D26">
        <w:rPr>
          <w:color w:val="000000" w:themeColor="text1"/>
          <w:lang w:val="en-US"/>
        </w:rPr>
        <w:t xml:space="preserve">URL: </w:t>
      </w:r>
      <w:hyperlink r:id="rId13" w:history="1">
        <w:r w:rsidRPr="007A0D26">
          <w:rPr>
            <w:rStyle w:val="a5"/>
            <w:color w:val="000000" w:themeColor="text1"/>
            <w:lang w:val="en-US"/>
          </w:rPr>
          <w:t>https://psychiatrypodcast.com/psychiatry-psychotherapy-podcast/therapeutic-alliance-part-1</w:t>
        </w:r>
      </w:hyperlink>
      <w:bookmarkEnd w:id="2"/>
    </w:p>
    <w:p w:rsidR="00D767C4" w:rsidRDefault="00D767C4" w:rsidP="003A5104">
      <w:pPr>
        <w:pStyle w:val="a3"/>
        <w:numPr>
          <w:ilvl w:val="0"/>
          <w:numId w:val="10"/>
        </w:numPr>
        <w:shd w:val="clear" w:color="auto" w:fill="FFFFFF"/>
        <w:tabs>
          <w:tab w:val="left" w:pos="0"/>
        </w:tabs>
        <w:spacing w:after="0"/>
        <w:ind w:left="0" w:right="63"/>
        <w:rPr>
          <w:color w:val="000000" w:themeColor="text1"/>
          <w:lang w:val="en-US"/>
        </w:rPr>
      </w:pPr>
      <w:r>
        <w:rPr>
          <w:color w:val="000000" w:themeColor="text1"/>
          <w:lang w:val="en-US"/>
        </w:rPr>
        <w:t xml:space="preserve">All materials for the course ‘Psychology of Communication’ </w:t>
      </w:r>
      <w:hyperlink r:id="rId14" w:history="1">
        <w:r w:rsidR="003A5104" w:rsidRPr="00AA343D">
          <w:rPr>
            <w:rStyle w:val="a5"/>
            <w:lang w:val="en-US"/>
          </w:rPr>
          <w:t>http://psydilab.univer.kharkov.ua/index.php/en/education/163-psychology-of-communication</w:t>
        </w:r>
      </w:hyperlink>
    </w:p>
    <w:p w:rsidR="003A5104" w:rsidRPr="007A0D26" w:rsidRDefault="003A5104" w:rsidP="003A5104">
      <w:pPr>
        <w:pStyle w:val="a3"/>
        <w:numPr>
          <w:ilvl w:val="0"/>
          <w:numId w:val="10"/>
        </w:numPr>
        <w:shd w:val="clear" w:color="auto" w:fill="FFFFFF"/>
        <w:tabs>
          <w:tab w:val="left" w:pos="0"/>
        </w:tabs>
        <w:spacing w:after="0"/>
        <w:ind w:left="0" w:right="63"/>
        <w:rPr>
          <w:color w:val="000000" w:themeColor="text1"/>
          <w:lang w:val="en-US"/>
        </w:rPr>
      </w:pPr>
      <w:r>
        <w:rPr>
          <w:lang w:val="en-US"/>
        </w:rPr>
        <w:t xml:space="preserve"> Communication Guys podcast. URL: </w:t>
      </w:r>
      <w:hyperlink r:id="rId15" w:history="1">
        <w:r w:rsidRPr="003A5104">
          <w:rPr>
            <w:color w:val="0000FF"/>
            <w:u w:val="single"/>
          </w:rPr>
          <w:t>https://www.communicationguys.com/podcast/</w:t>
        </w:r>
      </w:hyperlink>
    </w:p>
    <w:sectPr w:rsidR="003A5104" w:rsidRPr="007A0D26" w:rsidSect="003A5104">
      <w:footerReference w:type="default" r:id="rId16"/>
      <w:pgSz w:w="11906" w:h="16838"/>
      <w:pgMar w:top="1138" w:right="779" w:bottom="1145"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49" w:rsidRDefault="00F85D49" w:rsidP="0011023B">
      <w:pPr>
        <w:spacing w:after="0" w:line="240" w:lineRule="auto"/>
      </w:pPr>
      <w:r>
        <w:separator/>
      </w:r>
    </w:p>
  </w:endnote>
  <w:endnote w:type="continuationSeparator" w:id="0">
    <w:p w:rsidR="00F85D49" w:rsidRDefault="00F85D49" w:rsidP="0011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dobe-garamond-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912431608"/>
      <w:docPartObj>
        <w:docPartGallery w:val="Page Numbers (Bottom of Page)"/>
        <w:docPartUnique/>
      </w:docPartObj>
    </w:sdtPr>
    <w:sdtEndPr/>
    <w:sdtContent>
      <w:p w:rsidR="0042234F" w:rsidRDefault="0042234F">
        <w:pPr>
          <w:pStyle w:val="a8"/>
          <w:jc w:val="right"/>
        </w:pPr>
        <w:r>
          <w:fldChar w:fldCharType="begin"/>
        </w:r>
        <w:r>
          <w:instrText>PAGE   \* MERGEFORMAT</w:instrText>
        </w:r>
        <w:r>
          <w:fldChar w:fldCharType="separate"/>
        </w:r>
        <w:r w:rsidR="00003C94">
          <w:rPr>
            <w:noProof/>
          </w:rPr>
          <w:t>1</w:t>
        </w:r>
        <w:r>
          <w:rPr>
            <w:noProof/>
          </w:rPr>
          <w:fldChar w:fldCharType="end"/>
        </w:r>
      </w:p>
    </w:sdtContent>
  </w:sdt>
  <w:p w:rsidR="0042234F" w:rsidRDefault="004223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49" w:rsidRDefault="00F85D49" w:rsidP="0011023B">
      <w:pPr>
        <w:spacing w:after="0" w:line="240" w:lineRule="auto"/>
      </w:pPr>
      <w:r>
        <w:separator/>
      </w:r>
    </w:p>
  </w:footnote>
  <w:footnote w:type="continuationSeparator" w:id="0">
    <w:p w:rsidR="00F85D49" w:rsidRDefault="00F85D49" w:rsidP="00110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22C"/>
    <w:multiLevelType w:val="hybridMultilevel"/>
    <w:tmpl w:val="1D049DE6"/>
    <w:lvl w:ilvl="0" w:tplc="1AC8E21A">
      <w:start w:val="1"/>
      <w:numFmt w:val="bullet"/>
      <w:lvlText w:val="•"/>
      <w:lvlJc w:val="left"/>
      <w:pPr>
        <w:ind w:left="9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E6A1DE">
      <w:start w:val="1"/>
      <w:numFmt w:val="bullet"/>
      <w:lvlText w:val="o"/>
      <w:lvlJc w:val="left"/>
      <w:pPr>
        <w:ind w:left="2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14C400">
      <w:start w:val="1"/>
      <w:numFmt w:val="bullet"/>
      <w:lvlText w:val="▪"/>
      <w:lvlJc w:val="left"/>
      <w:pPr>
        <w:ind w:left="2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AA6D1E">
      <w:start w:val="1"/>
      <w:numFmt w:val="bullet"/>
      <w:lvlText w:val="•"/>
      <w:lvlJc w:val="left"/>
      <w:pPr>
        <w:ind w:left="3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0AD81C">
      <w:start w:val="1"/>
      <w:numFmt w:val="bullet"/>
      <w:lvlText w:val="o"/>
      <w:lvlJc w:val="left"/>
      <w:pPr>
        <w:ind w:left="4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B45C5C">
      <w:start w:val="1"/>
      <w:numFmt w:val="bullet"/>
      <w:lvlText w:val="▪"/>
      <w:lvlJc w:val="left"/>
      <w:pPr>
        <w:ind w:left="4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BA47710">
      <w:start w:val="1"/>
      <w:numFmt w:val="bullet"/>
      <w:lvlText w:val="•"/>
      <w:lvlJc w:val="left"/>
      <w:pPr>
        <w:ind w:left="56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12771E">
      <w:start w:val="1"/>
      <w:numFmt w:val="bullet"/>
      <w:lvlText w:val="o"/>
      <w:lvlJc w:val="left"/>
      <w:pPr>
        <w:ind w:left="63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163232">
      <w:start w:val="1"/>
      <w:numFmt w:val="bullet"/>
      <w:lvlText w:val="▪"/>
      <w:lvlJc w:val="left"/>
      <w:pPr>
        <w:ind w:left="71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9A81511"/>
    <w:multiLevelType w:val="hybridMultilevel"/>
    <w:tmpl w:val="C00AF114"/>
    <w:lvl w:ilvl="0" w:tplc="2FBCB98E">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AF41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B0E0F4">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AC178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BC90B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D64348">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38A12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16557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9CF94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2F0242F"/>
    <w:multiLevelType w:val="hybridMultilevel"/>
    <w:tmpl w:val="BF00FE4E"/>
    <w:lvl w:ilvl="0" w:tplc="9BB60EA6">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2A2490">
      <w:start w:val="1"/>
      <w:numFmt w:val="bullet"/>
      <w:lvlText w:val="–"/>
      <w:lvlJc w:val="left"/>
      <w:pPr>
        <w:ind w:left="2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100D94">
      <w:start w:val="1"/>
      <w:numFmt w:val="bullet"/>
      <w:lvlText w:val="▪"/>
      <w:lvlJc w:val="left"/>
      <w:pPr>
        <w:ind w:left="3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421A1C">
      <w:start w:val="1"/>
      <w:numFmt w:val="bullet"/>
      <w:lvlText w:val="•"/>
      <w:lvlJc w:val="left"/>
      <w:pPr>
        <w:ind w:left="4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40CDFA">
      <w:start w:val="1"/>
      <w:numFmt w:val="bullet"/>
      <w:lvlText w:val="o"/>
      <w:lvlJc w:val="left"/>
      <w:pPr>
        <w:ind w:left="4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72EE9E">
      <w:start w:val="1"/>
      <w:numFmt w:val="bullet"/>
      <w:lvlText w:val="▪"/>
      <w:lvlJc w:val="left"/>
      <w:pPr>
        <w:ind w:left="5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6430BE">
      <w:start w:val="1"/>
      <w:numFmt w:val="bullet"/>
      <w:lvlText w:val="•"/>
      <w:lvlJc w:val="left"/>
      <w:pPr>
        <w:ind w:left="6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44F650">
      <w:start w:val="1"/>
      <w:numFmt w:val="bullet"/>
      <w:lvlText w:val="o"/>
      <w:lvlJc w:val="left"/>
      <w:pPr>
        <w:ind w:left="7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B07AC2">
      <w:start w:val="1"/>
      <w:numFmt w:val="bullet"/>
      <w:lvlText w:val="▪"/>
      <w:lvlJc w:val="left"/>
      <w:pPr>
        <w:ind w:left="7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A1C4F88"/>
    <w:multiLevelType w:val="hybridMultilevel"/>
    <w:tmpl w:val="A4807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844D5"/>
    <w:multiLevelType w:val="hybridMultilevel"/>
    <w:tmpl w:val="B7945174"/>
    <w:lvl w:ilvl="0" w:tplc="37E25F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BCD4B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609AE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585DB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3ADD0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068CD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0C487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84E94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5E65A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E132809"/>
    <w:multiLevelType w:val="singleLevel"/>
    <w:tmpl w:val="CD3AA7E4"/>
    <w:lvl w:ilvl="0">
      <w:numFmt w:val="none"/>
      <w:lvlText w:val=""/>
      <w:legacy w:legacy="1" w:legacySpace="0" w:legacyIndent="0"/>
      <w:lvlJc w:val="left"/>
      <w:rPr>
        <w:rFonts w:ascii="Symbol" w:hAnsi="Symbol" w:cs="Times New Roman" w:hint="default"/>
      </w:rPr>
    </w:lvl>
  </w:abstractNum>
  <w:abstractNum w:abstractNumId="6">
    <w:nsid w:val="50337C8C"/>
    <w:multiLevelType w:val="hybridMultilevel"/>
    <w:tmpl w:val="B4F6C6D4"/>
    <w:lvl w:ilvl="0" w:tplc="6C94FF6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A4C82E">
      <w:start w:val="1"/>
      <w:numFmt w:val="lowerLetter"/>
      <w:lvlText w:val="%2"/>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54D9E2">
      <w:start w:val="1"/>
      <w:numFmt w:val="lowerRoman"/>
      <w:lvlText w:val="%3"/>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9EBB50">
      <w:start w:val="1"/>
      <w:numFmt w:val="decimal"/>
      <w:lvlText w:val="%4"/>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22652A">
      <w:start w:val="1"/>
      <w:numFmt w:val="lowerLetter"/>
      <w:lvlText w:val="%5"/>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20BFAC">
      <w:start w:val="1"/>
      <w:numFmt w:val="lowerRoman"/>
      <w:lvlText w:val="%6"/>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C5636">
      <w:start w:val="1"/>
      <w:numFmt w:val="decimal"/>
      <w:lvlText w:val="%7"/>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9CFB4A">
      <w:start w:val="1"/>
      <w:numFmt w:val="lowerLetter"/>
      <w:lvlText w:val="%8"/>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26102">
      <w:start w:val="1"/>
      <w:numFmt w:val="lowerRoman"/>
      <w:lvlText w:val="%9"/>
      <w:lvlJc w:val="left"/>
      <w:pPr>
        <w:ind w:left="7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9E163E4"/>
    <w:multiLevelType w:val="hybridMultilevel"/>
    <w:tmpl w:val="D88E5AAC"/>
    <w:lvl w:ilvl="0" w:tplc="E744E174">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06251C">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3E3F00">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68CE5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0231B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FCD8C0">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5C57E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CC59FC">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76929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A4D0C35"/>
    <w:multiLevelType w:val="hybridMultilevel"/>
    <w:tmpl w:val="F8C65C76"/>
    <w:lvl w:ilvl="0" w:tplc="0419000F">
      <w:start w:val="1"/>
      <w:numFmt w:val="decimal"/>
      <w:lvlText w:val="%1."/>
      <w:lvlJc w:val="left"/>
      <w:pPr>
        <w:ind w:left="712" w:hanging="360"/>
      </w:p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9">
    <w:nsid w:val="6EA45131"/>
    <w:multiLevelType w:val="hybridMultilevel"/>
    <w:tmpl w:val="FB163730"/>
    <w:lvl w:ilvl="0" w:tplc="A05C882A">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348ECE">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62BEE6">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743B2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52569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EFFD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F4B8EE">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F4B8EA">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C6563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30610D0"/>
    <w:multiLevelType w:val="hybridMultilevel"/>
    <w:tmpl w:val="5B400B0E"/>
    <w:lvl w:ilvl="0" w:tplc="98E4D6DC">
      <w:start w:val="4"/>
      <w:numFmt w:val="decimal"/>
      <w:lvlText w:val="%1."/>
      <w:lvlJc w:val="left"/>
      <w:pPr>
        <w:ind w:left="5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C1A0CD4">
      <w:start w:val="1"/>
      <w:numFmt w:val="lowerLetter"/>
      <w:lvlText w:val="%2"/>
      <w:lvlJc w:val="left"/>
      <w:pPr>
        <w:ind w:left="19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F49132">
      <w:start w:val="1"/>
      <w:numFmt w:val="lowerRoman"/>
      <w:lvlText w:val="%3"/>
      <w:lvlJc w:val="left"/>
      <w:pPr>
        <w:ind w:left="2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57A48F4">
      <w:start w:val="1"/>
      <w:numFmt w:val="decimal"/>
      <w:lvlText w:val="%4"/>
      <w:lvlJc w:val="left"/>
      <w:pPr>
        <w:ind w:left="3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32EF372">
      <w:start w:val="1"/>
      <w:numFmt w:val="lowerLetter"/>
      <w:lvlText w:val="%5"/>
      <w:lvlJc w:val="left"/>
      <w:pPr>
        <w:ind w:left="4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A203CFE">
      <w:start w:val="1"/>
      <w:numFmt w:val="lowerRoman"/>
      <w:lvlText w:val="%6"/>
      <w:lvlJc w:val="left"/>
      <w:pPr>
        <w:ind w:left="4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0025508">
      <w:start w:val="1"/>
      <w:numFmt w:val="decimal"/>
      <w:lvlText w:val="%7"/>
      <w:lvlJc w:val="left"/>
      <w:pPr>
        <w:ind w:left="5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CEEB154">
      <w:start w:val="1"/>
      <w:numFmt w:val="lowerLetter"/>
      <w:lvlText w:val="%8"/>
      <w:lvlJc w:val="left"/>
      <w:pPr>
        <w:ind w:left="6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54405D4">
      <w:start w:val="1"/>
      <w:numFmt w:val="lowerRoman"/>
      <w:lvlText w:val="%9"/>
      <w:lvlJc w:val="left"/>
      <w:pPr>
        <w:ind w:left="6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742E4D77"/>
    <w:multiLevelType w:val="hybridMultilevel"/>
    <w:tmpl w:val="2050016C"/>
    <w:lvl w:ilvl="0" w:tplc="E624B45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676EF3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4A246E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DC47A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E2BED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C4336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54716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85A7E1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36D9E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759810D2"/>
    <w:multiLevelType w:val="hybridMultilevel"/>
    <w:tmpl w:val="03320844"/>
    <w:lvl w:ilvl="0" w:tplc="0419000F">
      <w:start w:val="1"/>
      <w:numFmt w:val="decimal"/>
      <w:lvlText w:val="%1."/>
      <w:lvlJc w:val="left"/>
      <w:pPr>
        <w:ind w:left="712" w:hanging="360"/>
      </w:p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3">
    <w:nsid w:val="7E4F6CDC"/>
    <w:multiLevelType w:val="singleLevel"/>
    <w:tmpl w:val="CD3AA7E4"/>
    <w:lvl w:ilvl="0">
      <w:numFmt w:val="none"/>
      <w:lvlText w:val=""/>
      <w:legacy w:legacy="1" w:legacySpace="0" w:legacyIndent="0"/>
      <w:lvlJc w:val="left"/>
      <w:rPr>
        <w:rFonts w:ascii="Symbol" w:hAnsi="Symbol" w:cs="Times New Roman" w:hint="default"/>
      </w:rPr>
    </w:lvl>
  </w:abstractNum>
  <w:num w:numId="1">
    <w:abstractNumId w:val="6"/>
  </w:num>
  <w:num w:numId="2">
    <w:abstractNumId w:val="2"/>
  </w:num>
  <w:num w:numId="3">
    <w:abstractNumId w:val="0"/>
  </w:num>
  <w:num w:numId="4">
    <w:abstractNumId w:val="1"/>
  </w:num>
  <w:num w:numId="5">
    <w:abstractNumId w:val="7"/>
  </w:num>
  <w:num w:numId="6">
    <w:abstractNumId w:val="9"/>
  </w:num>
  <w:num w:numId="7">
    <w:abstractNumId w:val="10"/>
  </w:num>
  <w:num w:numId="8">
    <w:abstractNumId w:val="11"/>
  </w:num>
  <w:num w:numId="9">
    <w:abstractNumId w:val="4"/>
  </w:num>
  <w:num w:numId="10">
    <w:abstractNumId w:val="12"/>
  </w:num>
  <w:num w:numId="11">
    <w:abstractNumId w:val="8"/>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7B"/>
    <w:rsid w:val="00003C94"/>
    <w:rsid w:val="00005335"/>
    <w:rsid w:val="0002236B"/>
    <w:rsid w:val="0002651B"/>
    <w:rsid w:val="00033F80"/>
    <w:rsid w:val="000912C7"/>
    <w:rsid w:val="000A2239"/>
    <w:rsid w:val="000B06F5"/>
    <w:rsid w:val="000B526D"/>
    <w:rsid w:val="00106EEB"/>
    <w:rsid w:val="0011023B"/>
    <w:rsid w:val="00120AD0"/>
    <w:rsid w:val="00123119"/>
    <w:rsid w:val="00140EB4"/>
    <w:rsid w:val="001A1613"/>
    <w:rsid w:val="001C5074"/>
    <w:rsid w:val="00204B11"/>
    <w:rsid w:val="00207251"/>
    <w:rsid w:val="002159B3"/>
    <w:rsid w:val="00221F64"/>
    <w:rsid w:val="00272235"/>
    <w:rsid w:val="00292ADD"/>
    <w:rsid w:val="00297889"/>
    <w:rsid w:val="00315272"/>
    <w:rsid w:val="00356DFE"/>
    <w:rsid w:val="003A5104"/>
    <w:rsid w:val="003D573C"/>
    <w:rsid w:val="003D7DE4"/>
    <w:rsid w:val="003F60DD"/>
    <w:rsid w:val="003F640F"/>
    <w:rsid w:val="00404F7B"/>
    <w:rsid w:val="00413835"/>
    <w:rsid w:val="004202D2"/>
    <w:rsid w:val="0042110B"/>
    <w:rsid w:val="0042234F"/>
    <w:rsid w:val="00422AF6"/>
    <w:rsid w:val="00425C30"/>
    <w:rsid w:val="00442BBB"/>
    <w:rsid w:val="00452FFF"/>
    <w:rsid w:val="00496B51"/>
    <w:rsid w:val="0049737B"/>
    <w:rsid w:val="004C50E5"/>
    <w:rsid w:val="004E5289"/>
    <w:rsid w:val="004F2B4E"/>
    <w:rsid w:val="0052455E"/>
    <w:rsid w:val="00525505"/>
    <w:rsid w:val="00535500"/>
    <w:rsid w:val="00574810"/>
    <w:rsid w:val="00576CD8"/>
    <w:rsid w:val="005770A8"/>
    <w:rsid w:val="005C0934"/>
    <w:rsid w:val="005D64E3"/>
    <w:rsid w:val="00603052"/>
    <w:rsid w:val="006259F3"/>
    <w:rsid w:val="00632FE7"/>
    <w:rsid w:val="00634C61"/>
    <w:rsid w:val="00660391"/>
    <w:rsid w:val="00661BAF"/>
    <w:rsid w:val="00670E4C"/>
    <w:rsid w:val="00680C5F"/>
    <w:rsid w:val="006A790A"/>
    <w:rsid w:val="006B3439"/>
    <w:rsid w:val="006C0277"/>
    <w:rsid w:val="006D765C"/>
    <w:rsid w:val="006D76C3"/>
    <w:rsid w:val="006F2C61"/>
    <w:rsid w:val="00711D80"/>
    <w:rsid w:val="00724A99"/>
    <w:rsid w:val="007272BA"/>
    <w:rsid w:val="00756A30"/>
    <w:rsid w:val="0077290C"/>
    <w:rsid w:val="007A0D26"/>
    <w:rsid w:val="007A328D"/>
    <w:rsid w:val="007C58F1"/>
    <w:rsid w:val="00805B3F"/>
    <w:rsid w:val="008350CB"/>
    <w:rsid w:val="00842969"/>
    <w:rsid w:val="008D5481"/>
    <w:rsid w:val="009050BB"/>
    <w:rsid w:val="0094338C"/>
    <w:rsid w:val="0097477E"/>
    <w:rsid w:val="00985721"/>
    <w:rsid w:val="009A1F1C"/>
    <w:rsid w:val="009F61FF"/>
    <w:rsid w:val="00A040CA"/>
    <w:rsid w:val="00A07F30"/>
    <w:rsid w:val="00A72BD5"/>
    <w:rsid w:val="00A76CDD"/>
    <w:rsid w:val="00A94D0C"/>
    <w:rsid w:val="00AA12CD"/>
    <w:rsid w:val="00AF2464"/>
    <w:rsid w:val="00AF79D9"/>
    <w:rsid w:val="00B075E1"/>
    <w:rsid w:val="00B35AE4"/>
    <w:rsid w:val="00B81488"/>
    <w:rsid w:val="00B96A03"/>
    <w:rsid w:val="00BA4BD3"/>
    <w:rsid w:val="00BE51A3"/>
    <w:rsid w:val="00BE5614"/>
    <w:rsid w:val="00C3296F"/>
    <w:rsid w:val="00C61F4B"/>
    <w:rsid w:val="00CB5E52"/>
    <w:rsid w:val="00D07834"/>
    <w:rsid w:val="00D1309E"/>
    <w:rsid w:val="00D2060F"/>
    <w:rsid w:val="00D50691"/>
    <w:rsid w:val="00D532BA"/>
    <w:rsid w:val="00D650A3"/>
    <w:rsid w:val="00D767C4"/>
    <w:rsid w:val="00DA645D"/>
    <w:rsid w:val="00DD51A4"/>
    <w:rsid w:val="00DD69C4"/>
    <w:rsid w:val="00E03628"/>
    <w:rsid w:val="00E1364E"/>
    <w:rsid w:val="00E2179C"/>
    <w:rsid w:val="00E50C40"/>
    <w:rsid w:val="00E54CD7"/>
    <w:rsid w:val="00E7367F"/>
    <w:rsid w:val="00E73870"/>
    <w:rsid w:val="00E81B6B"/>
    <w:rsid w:val="00E87B1F"/>
    <w:rsid w:val="00F003DB"/>
    <w:rsid w:val="00F06919"/>
    <w:rsid w:val="00F11DD9"/>
    <w:rsid w:val="00F51BB2"/>
    <w:rsid w:val="00F70DD5"/>
    <w:rsid w:val="00F84089"/>
    <w:rsid w:val="00F85D49"/>
    <w:rsid w:val="00FB1DC5"/>
    <w:rsid w:val="00FC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4E"/>
    <w:pPr>
      <w:spacing w:after="4" w:line="248" w:lineRule="auto"/>
      <w:ind w:right="69"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rsid w:val="004F2B4E"/>
    <w:pPr>
      <w:keepNext/>
      <w:keepLines/>
      <w:spacing w:after="13" w:line="248" w:lineRule="auto"/>
      <w:ind w:left="788" w:hanging="10"/>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rsid w:val="00F11DD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C3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2B4E"/>
    <w:rPr>
      <w:rFonts w:ascii="Times New Roman" w:eastAsia="Times New Roman" w:hAnsi="Times New Roman" w:cs="Times New Roman"/>
      <w:b/>
      <w:color w:val="000000"/>
      <w:sz w:val="28"/>
    </w:rPr>
  </w:style>
  <w:style w:type="table" w:customStyle="1" w:styleId="TableGrid">
    <w:name w:val="TableGrid"/>
    <w:rsid w:val="004F2B4E"/>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52FFF"/>
    <w:pPr>
      <w:ind w:left="720"/>
      <w:contextualSpacing/>
    </w:pPr>
  </w:style>
  <w:style w:type="character" w:customStyle="1" w:styleId="30">
    <w:name w:val="Заголовок 3 Знак"/>
    <w:basedOn w:val="a0"/>
    <w:link w:val="3"/>
    <w:uiPriority w:val="9"/>
    <w:semiHidden/>
    <w:rsid w:val="00C3296F"/>
    <w:rPr>
      <w:rFonts w:asciiTheme="majorHAnsi" w:eastAsiaTheme="majorEastAsia" w:hAnsiTheme="majorHAnsi" w:cstheme="majorBidi"/>
      <w:color w:val="1F3763" w:themeColor="accent1" w:themeShade="7F"/>
      <w:sz w:val="24"/>
      <w:szCs w:val="24"/>
    </w:rPr>
  </w:style>
  <w:style w:type="paragraph" w:customStyle="1" w:styleId="FR1">
    <w:name w:val="FR1"/>
    <w:uiPriority w:val="99"/>
    <w:rsid w:val="001C5074"/>
    <w:pPr>
      <w:spacing w:after="0" w:line="240" w:lineRule="auto"/>
    </w:pPr>
    <w:rPr>
      <w:rFonts w:ascii="Calibri" w:eastAsia="Times New Roman" w:hAnsi="Calibri" w:cs="Times New Roman"/>
      <w:i/>
      <w:sz w:val="24"/>
      <w:szCs w:val="20"/>
      <w:lang w:val="uk-UA"/>
    </w:rPr>
  </w:style>
  <w:style w:type="table" w:styleId="a4">
    <w:name w:val="Table Grid"/>
    <w:basedOn w:val="a1"/>
    <w:uiPriority w:val="39"/>
    <w:rsid w:val="0066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532BA"/>
    <w:rPr>
      <w:color w:val="0563C1" w:themeColor="hyperlink"/>
      <w:u w:val="single"/>
    </w:rPr>
  </w:style>
  <w:style w:type="character" w:customStyle="1" w:styleId="UnresolvedMention">
    <w:name w:val="Unresolved Mention"/>
    <w:basedOn w:val="a0"/>
    <w:uiPriority w:val="99"/>
    <w:semiHidden/>
    <w:unhideWhenUsed/>
    <w:rsid w:val="00D532BA"/>
    <w:rPr>
      <w:color w:val="605E5C"/>
      <w:shd w:val="clear" w:color="auto" w:fill="E1DFDD"/>
    </w:rPr>
  </w:style>
  <w:style w:type="character" w:customStyle="1" w:styleId="text">
    <w:name w:val="text"/>
    <w:basedOn w:val="a0"/>
    <w:rsid w:val="00F11DD9"/>
  </w:style>
  <w:style w:type="character" w:customStyle="1" w:styleId="author-ref">
    <w:name w:val="author-ref"/>
    <w:basedOn w:val="a0"/>
    <w:rsid w:val="00F11DD9"/>
  </w:style>
  <w:style w:type="character" w:customStyle="1" w:styleId="title-text">
    <w:name w:val="title-text"/>
    <w:basedOn w:val="a0"/>
    <w:rsid w:val="00F11DD9"/>
  </w:style>
  <w:style w:type="character" w:customStyle="1" w:styleId="20">
    <w:name w:val="Заголовок 2 Знак"/>
    <w:basedOn w:val="a0"/>
    <w:link w:val="2"/>
    <w:uiPriority w:val="9"/>
    <w:rsid w:val="00F11DD9"/>
    <w:rPr>
      <w:rFonts w:asciiTheme="majorHAnsi" w:eastAsiaTheme="majorEastAsia" w:hAnsiTheme="majorHAnsi" w:cstheme="majorBidi"/>
      <w:b/>
      <w:bCs/>
      <w:color w:val="4472C4" w:themeColor="accent1"/>
      <w:sz w:val="26"/>
      <w:szCs w:val="26"/>
    </w:rPr>
  </w:style>
  <w:style w:type="character" w:customStyle="1" w:styleId="citation-publication-date">
    <w:name w:val="citation-publication-date"/>
    <w:basedOn w:val="a0"/>
    <w:rsid w:val="00A040CA"/>
  </w:style>
  <w:style w:type="character" w:customStyle="1" w:styleId="doi">
    <w:name w:val="doi"/>
    <w:basedOn w:val="a0"/>
    <w:rsid w:val="00A040CA"/>
  </w:style>
  <w:style w:type="paragraph" w:styleId="a6">
    <w:name w:val="header"/>
    <w:basedOn w:val="a"/>
    <w:link w:val="a7"/>
    <w:uiPriority w:val="99"/>
    <w:unhideWhenUsed/>
    <w:rsid w:val="001102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023B"/>
    <w:rPr>
      <w:rFonts w:ascii="Times New Roman" w:eastAsia="Times New Roman" w:hAnsi="Times New Roman" w:cs="Times New Roman"/>
      <w:color w:val="000000"/>
      <w:sz w:val="28"/>
    </w:rPr>
  </w:style>
  <w:style w:type="paragraph" w:styleId="a8">
    <w:name w:val="footer"/>
    <w:basedOn w:val="a"/>
    <w:link w:val="a9"/>
    <w:uiPriority w:val="99"/>
    <w:unhideWhenUsed/>
    <w:rsid w:val="001102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023B"/>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4E"/>
    <w:pPr>
      <w:spacing w:after="4" w:line="248" w:lineRule="auto"/>
      <w:ind w:right="69"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rsid w:val="004F2B4E"/>
    <w:pPr>
      <w:keepNext/>
      <w:keepLines/>
      <w:spacing w:after="13" w:line="248" w:lineRule="auto"/>
      <w:ind w:left="788" w:hanging="10"/>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rsid w:val="00F11DD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C3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2B4E"/>
    <w:rPr>
      <w:rFonts w:ascii="Times New Roman" w:eastAsia="Times New Roman" w:hAnsi="Times New Roman" w:cs="Times New Roman"/>
      <w:b/>
      <w:color w:val="000000"/>
      <w:sz w:val="28"/>
    </w:rPr>
  </w:style>
  <w:style w:type="table" w:customStyle="1" w:styleId="TableGrid">
    <w:name w:val="TableGrid"/>
    <w:rsid w:val="004F2B4E"/>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52FFF"/>
    <w:pPr>
      <w:ind w:left="720"/>
      <w:contextualSpacing/>
    </w:pPr>
  </w:style>
  <w:style w:type="character" w:customStyle="1" w:styleId="30">
    <w:name w:val="Заголовок 3 Знак"/>
    <w:basedOn w:val="a0"/>
    <w:link w:val="3"/>
    <w:uiPriority w:val="9"/>
    <w:semiHidden/>
    <w:rsid w:val="00C3296F"/>
    <w:rPr>
      <w:rFonts w:asciiTheme="majorHAnsi" w:eastAsiaTheme="majorEastAsia" w:hAnsiTheme="majorHAnsi" w:cstheme="majorBidi"/>
      <w:color w:val="1F3763" w:themeColor="accent1" w:themeShade="7F"/>
      <w:sz w:val="24"/>
      <w:szCs w:val="24"/>
    </w:rPr>
  </w:style>
  <w:style w:type="paragraph" w:customStyle="1" w:styleId="FR1">
    <w:name w:val="FR1"/>
    <w:uiPriority w:val="99"/>
    <w:rsid w:val="001C5074"/>
    <w:pPr>
      <w:spacing w:after="0" w:line="240" w:lineRule="auto"/>
    </w:pPr>
    <w:rPr>
      <w:rFonts w:ascii="Calibri" w:eastAsia="Times New Roman" w:hAnsi="Calibri" w:cs="Times New Roman"/>
      <w:i/>
      <w:sz w:val="24"/>
      <w:szCs w:val="20"/>
      <w:lang w:val="uk-UA"/>
    </w:rPr>
  </w:style>
  <w:style w:type="table" w:styleId="a4">
    <w:name w:val="Table Grid"/>
    <w:basedOn w:val="a1"/>
    <w:uiPriority w:val="39"/>
    <w:rsid w:val="0066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532BA"/>
    <w:rPr>
      <w:color w:val="0563C1" w:themeColor="hyperlink"/>
      <w:u w:val="single"/>
    </w:rPr>
  </w:style>
  <w:style w:type="character" w:customStyle="1" w:styleId="UnresolvedMention">
    <w:name w:val="Unresolved Mention"/>
    <w:basedOn w:val="a0"/>
    <w:uiPriority w:val="99"/>
    <w:semiHidden/>
    <w:unhideWhenUsed/>
    <w:rsid w:val="00D532BA"/>
    <w:rPr>
      <w:color w:val="605E5C"/>
      <w:shd w:val="clear" w:color="auto" w:fill="E1DFDD"/>
    </w:rPr>
  </w:style>
  <w:style w:type="character" w:customStyle="1" w:styleId="text">
    <w:name w:val="text"/>
    <w:basedOn w:val="a0"/>
    <w:rsid w:val="00F11DD9"/>
  </w:style>
  <w:style w:type="character" w:customStyle="1" w:styleId="author-ref">
    <w:name w:val="author-ref"/>
    <w:basedOn w:val="a0"/>
    <w:rsid w:val="00F11DD9"/>
  </w:style>
  <w:style w:type="character" w:customStyle="1" w:styleId="title-text">
    <w:name w:val="title-text"/>
    <w:basedOn w:val="a0"/>
    <w:rsid w:val="00F11DD9"/>
  </w:style>
  <w:style w:type="character" w:customStyle="1" w:styleId="20">
    <w:name w:val="Заголовок 2 Знак"/>
    <w:basedOn w:val="a0"/>
    <w:link w:val="2"/>
    <w:uiPriority w:val="9"/>
    <w:rsid w:val="00F11DD9"/>
    <w:rPr>
      <w:rFonts w:asciiTheme="majorHAnsi" w:eastAsiaTheme="majorEastAsia" w:hAnsiTheme="majorHAnsi" w:cstheme="majorBidi"/>
      <w:b/>
      <w:bCs/>
      <w:color w:val="4472C4" w:themeColor="accent1"/>
      <w:sz w:val="26"/>
      <w:szCs w:val="26"/>
    </w:rPr>
  </w:style>
  <w:style w:type="character" w:customStyle="1" w:styleId="citation-publication-date">
    <w:name w:val="citation-publication-date"/>
    <w:basedOn w:val="a0"/>
    <w:rsid w:val="00A040CA"/>
  </w:style>
  <w:style w:type="character" w:customStyle="1" w:styleId="doi">
    <w:name w:val="doi"/>
    <w:basedOn w:val="a0"/>
    <w:rsid w:val="00A040CA"/>
  </w:style>
  <w:style w:type="paragraph" w:styleId="a6">
    <w:name w:val="header"/>
    <w:basedOn w:val="a"/>
    <w:link w:val="a7"/>
    <w:uiPriority w:val="99"/>
    <w:unhideWhenUsed/>
    <w:rsid w:val="001102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023B"/>
    <w:rPr>
      <w:rFonts w:ascii="Times New Roman" w:eastAsia="Times New Roman" w:hAnsi="Times New Roman" w:cs="Times New Roman"/>
      <w:color w:val="000000"/>
      <w:sz w:val="28"/>
    </w:rPr>
  </w:style>
  <w:style w:type="paragraph" w:styleId="a8">
    <w:name w:val="footer"/>
    <w:basedOn w:val="a"/>
    <w:link w:val="a9"/>
    <w:uiPriority w:val="99"/>
    <w:unhideWhenUsed/>
    <w:rsid w:val="001102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023B"/>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6846">
      <w:bodyDiv w:val="1"/>
      <w:marLeft w:val="0"/>
      <w:marRight w:val="0"/>
      <w:marTop w:val="0"/>
      <w:marBottom w:val="0"/>
      <w:divBdr>
        <w:top w:val="none" w:sz="0" w:space="0" w:color="auto"/>
        <w:left w:val="none" w:sz="0" w:space="0" w:color="auto"/>
        <w:bottom w:val="none" w:sz="0" w:space="0" w:color="auto"/>
        <w:right w:val="none" w:sz="0" w:space="0" w:color="auto"/>
      </w:divBdr>
      <w:divsChild>
        <w:div w:id="963735203">
          <w:marLeft w:val="0"/>
          <w:marRight w:val="0"/>
          <w:marTop w:val="100"/>
          <w:marBottom w:val="100"/>
          <w:divBdr>
            <w:top w:val="none" w:sz="0" w:space="0" w:color="auto"/>
            <w:left w:val="none" w:sz="0" w:space="0" w:color="auto"/>
            <w:bottom w:val="none" w:sz="0" w:space="0" w:color="auto"/>
            <w:right w:val="none" w:sz="0" w:space="0" w:color="auto"/>
          </w:divBdr>
          <w:divsChild>
            <w:div w:id="9204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5748">
      <w:bodyDiv w:val="1"/>
      <w:marLeft w:val="0"/>
      <w:marRight w:val="0"/>
      <w:marTop w:val="0"/>
      <w:marBottom w:val="0"/>
      <w:divBdr>
        <w:top w:val="none" w:sz="0" w:space="0" w:color="auto"/>
        <w:left w:val="none" w:sz="0" w:space="0" w:color="auto"/>
        <w:bottom w:val="none" w:sz="0" w:space="0" w:color="auto"/>
        <w:right w:val="none" w:sz="0" w:space="0" w:color="auto"/>
      </w:divBdr>
      <w:divsChild>
        <w:div w:id="1002004888">
          <w:marLeft w:val="0"/>
          <w:marRight w:val="0"/>
          <w:marTop w:val="34"/>
          <w:marBottom w:val="34"/>
          <w:divBdr>
            <w:top w:val="none" w:sz="0" w:space="0" w:color="auto"/>
            <w:left w:val="none" w:sz="0" w:space="0" w:color="auto"/>
            <w:bottom w:val="none" w:sz="0" w:space="0" w:color="auto"/>
            <w:right w:val="none" w:sz="0" w:space="0" w:color="auto"/>
          </w:divBdr>
          <w:divsChild>
            <w:div w:id="328489246">
              <w:marLeft w:val="0"/>
              <w:marRight w:val="0"/>
              <w:marTop w:val="0"/>
              <w:marBottom w:val="0"/>
              <w:divBdr>
                <w:top w:val="none" w:sz="0" w:space="0" w:color="auto"/>
                <w:left w:val="none" w:sz="0" w:space="0" w:color="auto"/>
                <w:bottom w:val="none" w:sz="0" w:space="0" w:color="auto"/>
                <w:right w:val="none" w:sz="0" w:space="0" w:color="auto"/>
              </w:divBdr>
            </w:div>
            <w:div w:id="18557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5221">
      <w:bodyDiv w:val="1"/>
      <w:marLeft w:val="0"/>
      <w:marRight w:val="0"/>
      <w:marTop w:val="0"/>
      <w:marBottom w:val="0"/>
      <w:divBdr>
        <w:top w:val="none" w:sz="0" w:space="0" w:color="auto"/>
        <w:left w:val="none" w:sz="0" w:space="0" w:color="auto"/>
        <w:bottom w:val="none" w:sz="0" w:space="0" w:color="auto"/>
        <w:right w:val="none" w:sz="0" w:space="0" w:color="auto"/>
      </w:divBdr>
    </w:div>
    <w:div w:id="1534149149">
      <w:bodyDiv w:val="1"/>
      <w:marLeft w:val="0"/>
      <w:marRight w:val="0"/>
      <w:marTop w:val="0"/>
      <w:marBottom w:val="0"/>
      <w:divBdr>
        <w:top w:val="none" w:sz="0" w:space="0" w:color="auto"/>
        <w:left w:val="none" w:sz="0" w:space="0" w:color="auto"/>
        <w:bottom w:val="none" w:sz="0" w:space="0" w:color="auto"/>
        <w:right w:val="none" w:sz="0" w:space="0" w:color="auto"/>
      </w:divBdr>
    </w:div>
    <w:div w:id="165363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sychiatrypodcast.com/psychiatry-psychotherapy-podcast/therapeutic-alliance-part-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spharmacist.com/article/patient-compliance-and-health-behavior-mode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sa.org/events/leadership-program/" TargetMode="External"/><Relationship Id="rId5" Type="http://schemas.openxmlformats.org/officeDocument/2006/relationships/settings" Target="settings.xml"/><Relationship Id="rId15" Type="http://schemas.openxmlformats.org/officeDocument/2006/relationships/hyperlink" Target="https://www.communicationguys.com/podcast/" TargetMode="External"/><Relationship Id="rId10" Type="http://schemas.openxmlformats.org/officeDocument/2006/relationships/hyperlink" Target="https://www.apa.org/monitor/2012/11/patient-physician" TargetMode="External"/><Relationship Id="rId4" Type="http://schemas.microsoft.com/office/2007/relationships/stylesWithEffects" Target="stylesWithEffects.xml"/><Relationship Id="rId9" Type="http://schemas.openxmlformats.org/officeDocument/2006/relationships/hyperlink" Target="https://www.sciencedirect.com/science/journal/17439191/5/1" TargetMode="External"/><Relationship Id="rId14" Type="http://schemas.openxmlformats.org/officeDocument/2006/relationships/hyperlink" Target="http://psydilab.univer.kharkov.ua/index.php/en/education/163-psychology-of-communi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DF8F-91E1-4B78-878B-846A1178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4197</Words>
  <Characters>2393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Lutsenko</dc:creator>
  <cp:lastModifiedBy>Декан</cp:lastModifiedBy>
  <cp:revision>4</cp:revision>
  <cp:lastPrinted>2019-09-30T14:15:00Z</cp:lastPrinted>
  <dcterms:created xsi:type="dcterms:W3CDTF">2020-03-16T11:09:00Z</dcterms:created>
  <dcterms:modified xsi:type="dcterms:W3CDTF">2020-03-16T11:15:00Z</dcterms:modified>
</cp:coreProperties>
</file>